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62" w:rsidRDefault="00155862" w:rsidP="00155862">
      <w:pPr>
        <w:pStyle w:val="NormalWeb"/>
        <w:shd w:val="clear" w:color="auto" w:fill="FFFFFF"/>
        <w:spacing w:after="0"/>
        <w:ind w:left="600"/>
        <w:jc w:val="both"/>
        <w:rPr>
          <w:rStyle w:val="Gl"/>
          <w:rFonts w:ascii="Arial" w:hAnsi="Arial" w:cs="Arial"/>
          <w:color w:val="444444"/>
          <w:szCs w:val="20"/>
          <w:bdr w:val="none" w:sz="0" w:space="0" w:color="auto" w:frame="1"/>
        </w:rPr>
      </w:pPr>
      <w:bookmarkStart w:id="0" w:name="_GoBack"/>
      <w:r w:rsidRPr="00DB7A0D">
        <w:rPr>
          <w:rStyle w:val="Gl"/>
          <w:rFonts w:ascii="Arial" w:hAnsi="Arial" w:cs="Arial"/>
          <w:color w:val="444444"/>
          <w:szCs w:val="20"/>
          <w:bdr w:val="none" w:sz="0" w:space="0" w:color="auto" w:frame="1"/>
        </w:rPr>
        <w:t>Kayıt ve Kabul Şartları</w:t>
      </w:r>
    </w:p>
    <w:bookmarkEnd w:id="0"/>
    <w:p w:rsidR="00155862" w:rsidRPr="0051413C" w:rsidRDefault="00155862" w:rsidP="00155862">
      <w:pPr>
        <w:pStyle w:val="Paragraflar"/>
      </w:pPr>
      <w:r w:rsidRPr="003C0E20">
        <w:t>Eskişehir Osmangazi Üniversitesi (ESOGÜ)’</w:t>
      </w:r>
      <w:proofErr w:type="spellStart"/>
      <w:r w:rsidRPr="003C0E20">
        <w:t>nin</w:t>
      </w:r>
      <w:proofErr w:type="spellEnd"/>
      <w:r w:rsidRPr="003C0E20">
        <w:t xml:space="preserve"> </w:t>
      </w:r>
      <w:proofErr w:type="spellStart"/>
      <w:r w:rsidRPr="003C0E20">
        <w:t>önlisans</w:t>
      </w:r>
      <w:proofErr w:type="spellEnd"/>
      <w:r w:rsidRPr="003C0E20">
        <w:t xml:space="preserve"> ve lisans eğitim-öğretim programlarına öğrenci kabulü Ölçme, Seçme ve Yerleştirme Merkezi (ÖSYM) tarafından yapılan sınav sonuçlarına ve Yüksek Öğretim Kurumu (YÖK) kararlarına göre yapılır. Merkezi Yerleştirmede adaylar İstatistik Bölümü’ne, Yükseköğretim Kurumları Sınavı (YKS) veya Dikey Geçiş Sınavı (DGS) puanları, yükseköğretim programları ile ilgili tercihleri ve bu programların kontenjan ve koşulları göz önünde tutularak ÖSYM tarafından yerleştirilir. Eskişehir Osmangazi Üniversitesi’nde kayıt kabul işlemleri, Öğrenci İşleri Daire Başkanlığı (ÖİDB) tarafından yürütülmekte olup, yönetmelik ve yönergelere ilişkin bilgilere </w:t>
      </w:r>
      <w:hyperlink r:id="rId5" w:history="1">
        <w:r w:rsidRPr="003C0E20">
          <w:rPr>
            <w:rStyle w:val="Kpr"/>
          </w:rPr>
          <w:t>http://oidb.ogu.edu.tr/Sayfa/Index/14/ogrenci-rehberi</w:t>
        </w:r>
      </w:hyperlink>
      <w:r w:rsidRPr="003C0E20">
        <w:t xml:space="preserve"> adresinden ulaşılabilir. İstatistik Bölümü’nde eğitim süresi toplam 4 yıldır. Tablo 1.2’de Eskişehir Osmangazi Üniversitesi İstatistik Bölümü öğrencilerinin, YKS derecelerine ilişkin bilgiler gösterilmektedir.</w:t>
      </w:r>
    </w:p>
    <w:p w:rsidR="00155862" w:rsidRDefault="00155862" w:rsidP="00155862">
      <w:pPr>
        <w:pStyle w:val="ekilveTabloBal"/>
      </w:pPr>
      <w:r w:rsidRPr="0051413C">
        <w:t>Tablo 1.2 Lisans Öğrencilerinin Yerleştirme Derecelerine İlişkin Bilgi</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1"/>
        <w:gridCol w:w="1075"/>
        <w:gridCol w:w="30"/>
        <w:gridCol w:w="1107"/>
        <w:gridCol w:w="84"/>
        <w:gridCol w:w="1107"/>
        <w:gridCol w:w="209"/>
        <w:gridCol w:w="741"/>
        <w:gridCol w:w="142"/>
        <w:gridCol w:w="1062"/>
        <w:gridCol w:w="264"/>
        <w:gridCol w:w="809"/>
        <w:gridCol w:w="378"/>
        <w:gridCol w:w="609"/>
        <w:gridCol w:w="45"/>
        <w:gridCol w:w="12"/>
      </w:tblGrid>
      <w:tr w:rsidR="00155862" w:rsidRPr="005D1D97" w:rsidTr="001C3CE0">
        <w:trPr>
          <w:gridAfter w:val="2"/>
          <w:wAfter w:w="45" w:type="dxa"/>
          <w:trHeight w:hRule="exact" w:val="284"/>
          <w:jc w:val="center"/>
        </w:trPr>
        <w:tc>
          <w:tcPr>
            <w:tcW w:w="8919" w:type="dxa"/>
            <w:gridSpan w:val="15"/>
            <w:shd w:val="clear" w:color="auto" w:fill="auto"/>
            <w:tcMar>
              <w:left w:w="28" w:type="dxa"/>
              <w:right w:w="28" w:type="dxa"/>
            </w:tcMar>
            <w:vAlign w:val="center"/>
          </w:tcPr>
          <w:p w:rsidR="00155862" w:rsidRPr="003C0E20" w:rsidRDefault="00155862" w:rsidP="001C3CE0">
            <w:pPr>
              <w:pStyle w:val="Tabloiyazs"/>
            </w:pPr>
            <w:r w:rsidRPr="003C0E20">
              <w:t>Örgün Öğretim</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vMerge w:val="restart"/>
            <w:shd w:val="clear" w:color="auto" w:fill="auto"/>
            <w:tcMar>
              <w:left w:w="28" w:type="dxa"/>
              <w:right w:w="28" w:type="dxa"/>
            </w:tcMar>
            <w:vAlign w:val="center"/>
          </w:tcPr>
          <w:p w:rsidR="00155862" w:rsidRPr="005D1D97" w:rsidRDefault="00155862" w:rsidP="001C3CE0">
            <w:pPr>
              <w:pStyle w:val="Tabloiyazs"/>
            </w:pPr>
            <w:r w:rsidRPr="005D1D97">
              <w:t>Akademik yıl</w:t>
            </w:r>
          </w:p>
        </w:tc>
        <w:tc>
          <w:tcPr>
            <w:tcW w:w="2319" w:type="dxa"/>
            <w:gridSpan w:val="5"/>
            <w:shd w:val="clear" w:color="auto" w:fill="auto"/>
            <w:tcMar>
              <w:left w:w="28" w:type="dxa"/>
              <w:right w:w="28" w:type="dxa"/>
            </w:tcMar>
            <w:vAlign w:val="center"/>
          </w:tcPr>
          <w:p w:rsidR="00155862" w:rsidRPr="005D1D97" w:rsidRDefault="00155862" w:rsidP="001C3CE0">
            <w:pPr>
              <w:pStyle w:val="Tabloiyazs"/>
              <w:rPr>
                <w:vertAlign w:val="superscript"/>
              </w:rPr>
            </w:pPr>
            <w:r w:rsidRPr="005D1D97">
              <w:t>Yerleştirme puanı</w:t>
            </w:r>
          </w:p>
        </w:tc>
        <w:tc>
          <w:tcPr>
            <w:tcW w:w="1318" w:type="dxa"/>
            <w:gridSpan w:val="2"/>
            <w:vMerge w:val="restart"/>
            <w:shd w:val="clear" w:color="auto" w:fill="auto"/>
            <w:tcMar>
              <w:left w:w="28" w:type="dxa"/>
              <w:right w:w="28" w:type="dxa"/>
            </w:tcMar>
            <w:vAlign w:val="center"/>
          </w:tcPr>
          <w:p w:rsidR="00155862" w:rsidRPr="005D1D97" w:rsidRDefault="00155862" w:rsidP="001C3CE0">
            <w:pPr>
              <w:pStyle w:val="Tabloiyazs"/>
            </w:pPr>
            <w:r w:rsidRPr="005D1D97">
              <w:t>Yerleştirme</w:t>
            </w:r>
          </w:p>
          <w:p w:rsidR="00155862" w:rsidRPr="005D1D97" w:rsidRDefault="00155862" w:rsidP="001C3CE0">
            <w:pPr>
              <w:pStyle w:val="Tabloiyazs"/>
            </w:pPr>
            <w:proofErr w:type="gramStart"/>
            <w:r w:rsidRPr="005D1D97">
              <w:t>puan</w:t>
            </w:r>
            <w:proofErr w:type="gramEnd"/>
            <w:r w:rsidRPr="005D1D97">
              <w:t xml:space="preserve"> türü</w:t>
            </w:r>
          </w:p>
        </w:tc>
        <w:tc>
          <w:tcPr>
            <w:tcW w:w="2214" w:type="dxa"/>
            <w:gridSpan w:val="4"/>
            <w:shd w:val="clear" w:color="auto" w:fill="auto"/>
            <w:tcMar>
              <w:left w:w="28" w:type="dxa"/>
              <w:right w:w="28" w:type="dxa"/>
            </w:tcMar>
            <w:vAlign w:val="center"/>
          </w:tcPr>
          <w:p w:rsidR="00155862" w:rsidRPr="005D1D97" w:rsidRDefault="00155862" w:rsidP="001C3CE0">
            <w:pPr>
              <w:pStyle w:val="Tabloiyazs"/>
            </w:pPr>
            <w:r w:rsidRPr="005D1D97">
              <w:t>Sıralama</w:t>
            </w:r>
          </w:p>
        </w:tc>
        <w:tc>
          <w:tcPr>
            <w:tcW w:w="1797" w:type="dxa"/>
            <w:gridSpan w:val="3"/>
            <w:shd w:val="clear" w:color="auto" w:fill="auto"/>
            <w:tcMar>
              <w:left w:w="28" w:type="dxa"/>
              <w:right w:w="28" w:type="dxa"/>
            </w:tcMar>
            <w:vAlign w:val="center"/>
          </w:tcPr>
          <w:p w:rsidR="00155862" w:rsidRPr="005D1D97" w:rsidRDefault="00155862" w:rsidP="001C3CE0">
            <w:pPr>
              <w:pStyle w:val="Tabloiyazs"/>
            </w:pPr>
            <w:r w:rsidRPr="005D1D97">
              <w:t>Öğrenci sayısı</w:t>
            </w:r>
          </w:p>
        </w:tc>
      </w:tr>
      <w:tr w:rsidR="00155862" w:rsidRPr="005D1D97" w:rsidTr="001C3CE0">
        <w:tblPrEx>
          <w:tblCellMar>
            <w:left w:w="120" w:type="dxa"/>
            <w:right w:w="120" w:type="dxa"/>
          </w:tblCellMar>
        </w:tblPrEx>
        <w:trPr>
          <w:gridAfter w:val="2"/>
          <w:wAfter w:w="45" w:type="dxa"/>
          <w:trHeight w:hRule="exact" w:val="382"/>
          <w:jc w:val="center"/>
        </w:trPr>
        <w:tc>
          <w:tcPr>
            <w:tcW w:w="1271" w:type="dxa"/>
            <w:vMerge/>
            <w:shd w:val="clear" w:color="auto" w:fill="auto"/>
            <w:tcMar>
              <w:left w:w="28" w:type="dxa"/>
              <w:right w:w="28" w:type="dxa"/>
            </w:tcMar>
            <w:vAlign w:val="center"/>
          </w:tcPr>
          <w:p w:rsidR="00155862" w:rsidRPr="005D1D97" w:rsidRDefault="00155862" w:rsidP="001C3CE0">
            <w:pPr>
              <w:pStyle w:val="Tabloiyazs"/>
            </w:pPr>
          </w:p>
        </w:tc>
        <w:tc>
          <w:tcPr>
            <w:tcW w:w="1097" w:type="dxa"/>
            <w:gridSpan w:val="2"/>
            <w:shd w:val="clear" w:color="auto" w:fill="auto"/>
            <w:tcMar>
              <w:left w:w="28" w:type="dxa"/>
              <w:right w:w="28" w:type="dxa"/>
            </w:tcMar>
            <w:vAlign w:val="center"/>
          </w:tcPr>
          <w:p w:rsidR="00155862" w:rsidRPr="005D1D97" w:rsidRDefault="00155862" w:rsidP="001C3CE0">
            <w:pPr>
              <w:pStyle w:val="Tabloiyazs"/>
            </w:pPr>
            <w:r w:rsidRPr="005D1D97">
              <w:t>En düşük</w:t>
            </w:r>
          </w:p>
        </w:tc>
        <w:tc>
          <w:tcPr>
            <w:tcW w:w="1222" w:type="dxa"/>
            <w:gridSpan w:val="3"/>
            <w:shd w:val="clear" w:color="auto" w:fill="auto"/>
            <w:tcMar>
              <w:left w:w="28" w:type="dxa"/>
              <w:right w:w="28" w:type="dxa"/>
            </w:tcMar>
            <w:vAlign w:val="center"/>
          </w:tcPr>
          <w:p w:rsidR="00155862" w:rsidRPr="005D1D97" w:rsidRDefault="00155862" w:rsidP="001C3CE0">
            <w:pPr>
              <w:pStyle w:val="Tabloiyazs"/>
            </w:pPr>
            <w:r w:rsidRPr="005D1D97">
              <w:t>En yüksek</w:t>
            </w:r>
          </w:p>
        </w:tc>
        <w:tc>
          <w:tcPr>
            <w:tcW w:w="1318" w:type="dxa"/>
            <w:gridSpan w:val="2"/>
            <w:vMerge/>
            <w:shd w:val="clear" w:color="auto" w:fill="auto"/>
            <w:tcMar>
              <w:left w:w="28" w:type="dxa"/>
              <w:right w:w="28" w:type="dxa"/>
            </w:tcMar>
            <w:vAlign w:val="center"/>
          </w:tcPr>
          <w:p w:rsidR="00155862" w:rsidRPr="005D1D97" w:rsidRDefault="00155862" w:rsidP="001C3CE0">
            <w:pPr>
              <w:pStyle w:val="Tabloiyazs"/>
            </w:pPr>
          </w:p>
        </w:tc>
        <w:tc>
          <w:tcPr>
            <w:tcW w:w="884" w:type="dxa"/>
            <w:gridSpan w:val="2"/>
            <w:shd w:val="clear" w:color="auto" w:fill="auto"/>
            <w:tcMar>
              <w:left w:w="28" w:type="dxa"/>
              <w:right w:w="28" w:type="dxa"/>
            </w:tcMar>
            <w:vAlign w:val="center"/>
          </w:tcPr>
          <w:p w:rsidR="00155862" w:rsidRPr="005D1D97" w:rsidRDefault="00155862" w:rsidP="001C3CE0">
            <w:pPr>
              <w:pStyle w:val="Tabloiyazs"/>
            </w:pPr>
            <w:r w:rsidRPr="005D1D97">
              <w:t>En düşük</w:t>
            </w:r>
          </w:p>
        </w:tc>
        <w:tc>
          <w:tcPr>
            <w:tcW w:w="1330" w:type="dxa"/>
            <w:gridSpan w:val="2"/>
            <w:shd w:val="clear" w:color="auto" w:fill="auto"/>
            <w:tcMar>
              <w:left w:w="28" w:type="dxa"/>
              <w:right w:w="28" w:type="dxa"/>
            </w:tcMar>
            <w:vAlign w:val="center"/>
          </w:tcPr>
          <w:p w:rsidR="00155862" w:rsidRPr="005D1D97" w:rsidRDefault="00155862" w:rsidP="001C3CE0">
            <w:pPr>
              <w:pStyle w:val="Tabloiyazs"/>
            </w:pPr>
            <w:r w:rsidRPr="005D1D97">
              <w:t>En yüksek</w:t>
            </w:r>
          </w:p>
        </w:tc>
        <w:tc>
          <w:tcPr>
            <w:tcW w:w="1188" w:type="dxa"/>
            <w:gridSpan w:val="2"/>
            <w:shd w:val="clear" w:color="auto" w:fill="auto"/>
            <w:tcMar>
              <w:left w:w="28" w:type="dxa"/>
              <w:right w:w="28" w:type="dxa"/>
            </w:tcMar>
            <w:vAlign w:val="center"/>
          </w:tcPr>
          <w:p w:rsidR="00155862" w:rsidRPr="005D1D97" w:rsidRDefault="00155862" w:rsidP="001C3CE0">
            <w:pPr>
              <w:pStyle w:val="Tabloiyazs"/>
            </w:pPr>
            <w:r w:rsidRPr="005D1D97">
              <w:t>Kontenjan</w:t>
            </w:r>
          </w:p>
        </w:tc>
        <w:tc>
          <w:tcPr>
            <w:tcW w:w="609" w:type="dxa"/>
            <w:shd w:val="clear" w:color="auto" w:fill="auto"/>
            <w:tcMar>
              <w:left w:w="28" w:type="dxa"/>
              <w:right w:w="28" w:type="dxa"/>
            </w:tcMar>
            <w:vAlign w:val="center"/>
          </w:tcPr>
          <w:p w:rsidR="00155862" w:rsidRPr="005D1D97" w:rsidRDefault="00155862" w:rsidP="001C3CE0">
            <w:pPr>
              <w:pStyle w:val="Tabloiyazs"/>
            </w:pPr>
            <w:r w:rsidRPr="005D1D97">
              <w:t>Kayıt olan</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shd w:val="clear" w:color="auto" w:fill="auto"/>
            <w:tcMar>
              <w:left w:w="28" w:type="dxa"/>
              <w:right w:w="28" w:type="dxa"/>
            </w:tcMar>
            <w:vAlign w:val="center"/>
          </w:tcPr>
          <w:p w:rsidR="00155862" w:rsidRPr="005D1D97" w:rsidRDefault="00155862" w:rsidP="001C3CE0">
            <w:pPr>
              <w:pStyle w:val="Tabloiyazs"/>
            </w:pPr>
            <w:r>
              <w:t>2013-2014</w:t>
            </w:r>
          </w:p>
        </w:tc>
        <w:tc>
          <w:tcPr>
            <w:tcW w:w="1097" w:type="dxa"/>
            <w:gridSpan w:val="2"/>
            <w:shd w:val="clear" w:color="auto" w:fill="auto"/>
            <w:tcMar>
              <w:left w:w="28" w:type="dxa"/>
              <w:right w:w="28" w:type="dxa"/>
            </w:tcMar>
            <w:vAlign w:val="center"/>
          </w:tcPr>
          <w:p w:rsidR="00155862" w:rsidRPr="005D1D97" w:rsidRDefault="00155862" w:rsidP="001C3CE0">
            <w:pPr>
              <w:pStyle w:val="Tabloiyazs"/>
            </w:pPr>
            <w:r>
              <w:t>197,51370</w:t>
            </w:r>
          </w:p>
        </w:tc>
        <w:tc>
          <w:tcPr>
            <w:tcW w:w="1222" w:type="dxa"/>
            <w:gridSpan w:val="3"/>
            <w:shd w:val="clear" w:color="auto" w:fill="auto"/>
            <w:tcMar>
              <w:left w:w="28" w:type="dxa"/>
              <w:right w:w="28" w:type="dxa"/>
            </w:tcMar>
            <w:vAlign w:val="center"/>
          </w:tcPr>
          <w:p w:rsidR="00155862" w:rsidRPr="005D1D97" w:rsidRDefault="00155862" w:rsidP="001C3CE0">
            <w:pPr>
              <w:pStyle w:val="Tabloiyazs"/>
            </w:pPr>
            <w:r>
              <w:t>264,10620</w:t>
            </w:r>
          </w:p>
        </w:tc>
        <w:tc>
          <w:tcPr>
            <w:tcW w:w="1318"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884" w:type="dxa"/>
            <w:gridSpan w:val="2"/>
            <w:shd w:val="clear" w:color="auto" w:fill="auto"/>
            <w:tcMar>
              <w:left w:w="28" w:type="dxa"/>
              <w:right w:w="28" w:type="dxa"/>
            </w:tcMar>
            <w:vAlign w:val="center"/>
          </w:tcPr>
          <w:p w:rsidR="00155862" w:rsidRPr="005D1D97" w:rsidRDefault="00155862" w:rsidP="001C3CE0">
            <w:pPr>
              <w:pStyle w:val="Tabloiyazs"/>
            </w:pPr>
            <w:r>
              <w:t>243000</w:t>
            </w:r>
          </w:p>
        </w:tc>
        <w:tc>
          <w:tcPr>
            <w:tcW w:w="1330"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88" w:type="dxa"/>
            <w:gridSpan w:val="2"/>
            <w:shd w:val="clear" w:color="auto" w:fill="auto"/>
            <w:tcMar>
              <w:left w:w="28" w:type="dxa"/>
              <w:right w:w="28" w:type="dxa"/>
            </w:tcMar>
            <w:vAlign w:val="center"/>
          </w:tcPr>
          <w:p w:rsidR="00155862" w:rsidRPr="005D1D97" w:rsidRDefault="00155862" w:rsidP="001C3CE0">
            <w:pPr>
              <w:pStyle w:val="Tabloiyazs"/>
            </w:pPr>
            <w:r>
              <w:t>82</w:t>
            </w:r>
          </w:p>
        </w:tc>
        <w:tc>
          <w:tcPr>
            <w:tcW w:w="609" w:type="dxa"/>
            <w:shd w:val="clear" w:color="auto" w:fill="auto"/>
            <w:tcMar>
              <w:left w:w="28" w:type="dxa"/>
              <w:right w:w="28" w:type="dxa"/>
            </w:tcMar>
            <w:vAlign w:val="center"/>
          </w:tcPr>
          <w:p w:rsidR="00155862" w:rsidRPr="005D1D97" w:rsidRDefault="00155862" w:rsidP="001C3CE0">
            <w:pPr>
              <w:pStyle w:val="Tabloiyazs"/>
            </w:pPr>
            <w:r>
              <w:t>81</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shd w:val="clear" w:color="auto" w:fill="auto"/>
            <w:tcMar>
              <w:left w:w="28" w:type="dxa"/>
              <w:right w:w="28" w:type="dxa"/>
            </w:tcMar>
            <w:vAlign w:val="center"/>
          </w:tcPr>
          <w:p w:rsidR="00155862" w:rsidRPr="005D1D97" w:rsidRDefault="00155862" w:rsidP="001C3CE0">
            <w:pPr>
              <w:pStyle w:val="Tabloiyazs"/>
            </w:pPr>
            <w:r>
              <w:t>2014-2015</w:t>
            </w:r>
          </w:p>
        </w:tc>
        <w:tc>
          <w:tcPr>
            <w:tcW w:w="1097" w:type="dxa"/>
            <w:gridSpan w:val="2"/>
            <w:shd w:val="clear" w:color="auto" w:fill="auto"/>
            <w:tcMar>
              <w:left w:w="28" w:type="dxa"/>
              <w:right w:w="28" w:type="dxa"/>
            </w:tcMar>
            <w:vAlign w:val="center"/>
          </w:tcPr>
          <w:p w:rsidR="00155862" w:rsidRPr="005D1D97" w:rsidRDefault="00155862" w:rsidP="001C3CE0">
            <w:pPr>
              <w:pStyle w:val="Tabloiyazs"/>
            </w:pPr>
            <w:r>
              <w:t>222,15533</w:t>
            </w:r>
          </w:p>
        </w:tc>
        <w:tc>
          <w:tcPr>
            <w:tcW w:w="1222" w:type="dxa"/>
            <w:gridSpan w:val="3"/>
            <w:shd w:val="clear" w:color="auto" w:fill="auto"/>
            <w:tcMar>
              <w:left w:w="28" w:type="dxa"/>
              <w:right w:w="28" w:type="dxa"/>
            </w:tcMar>
            <w:vAlign w:val="center"/>
          </w:tcPr>
          <w:p w:rsidR="00155862" w:rsidRPr="005D1D97" w:rsidRDefault="00155862" w:rsidP="001C3CE0">
            <w:pPr>
              <w:pStyle w:val="Tabloiyazs"/>
            </w:pPr>
            <w:r>
              <w:t>277,97268</w:t>
            </w:r>
          </w:p>
        </w:tc>
        <w:tc>
          <w:tcPr>
            <w:tcW w:w="1318"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884" w:type="dxa"/>
            <w:gridSpan w:val="2"/>
            <w:shd w:val="clear" w:color="auto" w:fill="auto"/>
            <w:tcMar>
              <w:left w:w="28" w:type="dxa"/>
              <w:right w:w="28" w:type="dxa"/>
            </w:tcMar>
            <w:vAlign w:val="center"/>
          </w:tcPr>
          <w:p w:rsidR="00155862" w:rsidRPr="005D1D97" w:rsidRDefault="00155862" w:rsidP="001C3CE0">
            <w:pPr>
              <w:pStyle w:val="Tabloiyazs"/>
            </w:pPr>
            <w:r>
              <w:t>243729</w:t>
            </w:r>
          </w:p>
        </w:tc>
        <w:tc>
          <w:tcPr>
            <w:tcW w:w="1330"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88" w:type="dxa"/>
            <w:gridSpan w:val="2"/>
            <w:shd w:val="clear" w:color="auto" w:fill="auto"/>
            <w:tcMar>
              <w:left w:w="28" w:type="dxa"/>
              <w:right w:w="28" w:type="dxa"/>
            </w:tcMar>
            <w:vAlign w:val="center"/>
          </w:tcPr>
          <w:p w:rsidR="00155862" w:rsidRPr="005D1D97" w:rsidRDefault="00155862" w:rsidP="001C3CE0">
            <w:pPr>
              <w:pStyle w:val="Tabloiyazs"/>
            </w:pPr>
            <w:r>
              <w:t>57</w:t>
            </w:r>
          </w:p>
        </w:tc>
        <w:tc>
          <w:tcPr>
            <w:tcW w:w="609" w:type="dxa"/>
            <w:shd w:val="clear" w:color="auto" w:fill="auto"/>
            <w:tcMar>
              <w:left w:w="28" w:type="dxa"/>
              <w:right w:w="28" w:type="dxa"/>
            </w:tcMar>
            <w:vAlign w:val="center"/>
          </w:tcPr>
          <w:p w:rsidR="00155862" w:rsidRPr="005D1D97" w:rsidRDefault="00155862" w:rsidP="001C3CE0">
            <w:pPr>
              <w:pStyle w:val="Tabloiyazs"/>
            </w:pPr>
            <w:r>
              <w:t>57</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shd w:val="clear" w:color="auto" w:fill="auto"/>
            <w:tcMar>
              <w:left w:w="28" w:type="dxa"/>
              <w:right w:w="28" w:type="dxa"/>
            </w:tcMar>
            <w:vAlign w:val="center"/>
          </w:tcPr>
          <w:p w:rsidR="00155862" w:rsidRPr="005D1D97" w:rsidRDefault="00155862" w:rsidP="001C3CE0">
            <w:pPr>
              <w:pStyle w:val="Tabloiyazs"/>
            </w:pPr>
            <w:r>
              <w:t>2015-2016</w:t>
            </w:r>
          </w:p>
        </w:tc>
        <w:tc>
          <w:tcPr>
            <w:tcW w:w="1097" w:type="dxa"/>
            <w:gridSpan w:val="2"/>
            <w:shd w:val="clear" w:color="auto" w:fill="auto"/>
            <w:tcMar>
              <w:left w:w="28" w:type="dxa"/>
              <w:right w:w="28" w:type="dxa"/>
            </w:tcMar>
            <w:vAlign w:val="center"/>
          </w:tcPr>
          <w:p w:rsidR="00155862" w:rsidRPr="005D1D97" w:rsidRDefault="00155862" w:rsidP="001C3CE0">
            <w:pPr>
              <w:pStyle w:val="Tabloiyazs"/>
            </w:pPr>
            <w:r>
              <w:t>224,85316</w:t>
            </w:r>
          </w:p>
        </w:tc>
        <w:tc>
          <w:tcPr>
            <w:tcW w:w="1222" w:type="dxa"/>
            <w:gridSpan w:val="3"/>
            <w:shd w:val="clear" w:color="auto" w:fill="auto"/>
            <w:tcMar>
              <w:left w:w="28" w:type="dxa"/>
              <w:right w:w="28" w:type="dxa"/>
            </w:tcMar>
            <w:vAlign w:val="center"/>
          </w:tcPr>
          <w:p w:rsidR="00155862" w:rsidRPr="005D1D97" w:rsidRDefault="00155862" w:rsidP="001C3CE0">
            <w:pPr>
              <w:pStyle w:val="Tabloiyazs"/>
            </w:pPr>
            <w:r>
              <w:t>257,69757</w:t>
            </w:r>
          </w:p>
        </w:tc>
        <w:tc>
          <w:tcPr>
            <w:tcW w:w="1318"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884" w:type="dxa"/>
            <w:gridSpan w:val="2"/>
            <w:shd w:val="clear" w:color="auto" w:fill="auto"/>
            <w:tcMar>
              <w:left w:w="28" w:type="dxa"/>
              <w:right w:w="28" w:type="dxa"/>
            </w:tcMar>
            <w:vAlign w:val="center"/>
          </w:tcPr>
          <w:p w:rsidR="00155862" w:rsidRPr="005D1D97" w:rsidRDefault="00155862" w:rsidP="001C3CE0">
            <w:pPr>
              <w:pStyle w:val="Tabloiyazs"/>
            </w:pPr>
            <w:r>
              <w:t>247255</w:t>
            </w:r>
          </w:p>
        </w:tc>
        <w:tc>
          <w:tcPr>
            <w:tcW w:w="1330"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88" w:type="dxa"/>
            <w:gridSpan w:val="2"/>
            <w:shd w:val="clear" w:color="auto" w:fill="auto"/>
            <w:tcMar>
              <w:left w:w="28" w:type="dxa"/>
              <w:right w:w="28" w:type="dxa"/>
            </w:tcMar>
            <w:vAlign w:val="center"/>
          </w:tcPr>
          <w:p w:rsidR="00155862" w:rsidRPr="005D1D97" w:rsidRDefault="00155862" w:rsidP="001C3CE0">
            <w:pPr>
              <w:pStyle w:val="Tabloiyazs"/>
            </w:pPr>
            <w:r>
              <w:t>57</w:t>
            </w:r>
          </w:p>
        </w:tc>
        <w:tc>
          <w:tcPr>
            <w:tcW w:w="609" w:type="dxa"/>
            <w:shd w:val="clear" w:color="auto" w:fill="auto"/>
            <w:tcMar>
              <w:left w:w="28" w:type="dxa"/>
              <w:right w:w="28" w:type="dxa"/>
            </w:tcMar>
            <w:vAlign w:val="center"/>
          </w:tcPr>
          <w:p w:rsidR="00155862" w:rsidRPr="005D1D97" w:rsidRDefault="00155862" w:rsidP="001C3CE0">
            <w:pPr>
              <w:pStyle w:val="Tabloiyazs"/>
            </w:pPr>
            <w:r>
              <w:t>57</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shd w:val="clear" w:color="auto" w:fill="auto"/>
            <w:tcMar>
              <w:left w:w="28" w:type="dxa"/>
              <w:right w:w="28" w:type="dxa"/>
            </w:tcMar>
            <w:vAlign w:val="center"/>
          </w:tcPr>
          <w:p w:rsidR="00155862" w:rsidRPr="005D1D97" w:rsidRDefault="00155862" w:rsidP="001C3CE0">
            <w:pPr>
              <w:pStyle w:val="Tabloiyazs"/>
            </w:pPr>
            <w:r>
              <w:t>2016-2017</w:t>
            </w:r>
          </w:p>
        </w:tc>
        <w:tc>
          <w:tcPr>
            <w:tcW w:w="1097" w:type="dxa"/>
            <w:gridSpan w:val="2"/>
            <w:shd w:val="clear" w:color="auto" w:fill="auto"/>
            <w:tcMar>
              <w:left w:w="28" w:type="dxa"/>
              <w:right w:w="28" w:type="dxa"/>
            </w:tcMar>
            <w:vAlign w:val="center"/>
          </w:tcPr>
          <w:p w:rsidR="00155862" w:rsidRPr="005D1D97" w:rsidRDefault="00155862" w:rsidP="001C3CE0">
            <w:pPr>
              <w:pStyle w:val="Tabloiyazs"/>
            </w:pPr>
            <w:r>
              <w:t>222,63272</w:t>
            </w:r>
          </w:p>
        </w:tc>
        <w:tc>
          <w:tcPr>
            <w:tcW w:w="1222" w:type="dxa"/>
            <w:gridSpan w:val="3"/>
            <w:shd w:val="clear" w:color="auto" w:fill="auto"/>
            <w:tcMar>
              <w:left w:w="28" w:type="dxa"/>
              <w:right w:w="28" w:type="dxa"/>
            </w:tcMar>
            <w:vAlign w:val="center"/>
          </w:tcPr>
          <w:p w:rsidR="00155862" w:rsidRPr="005D1D97" w:rsidRDefault="00155862" w:rsidP="001C3CE0">
            <w:pPr>
              <w:pStyle w:val="Tabloiyazs"/>
            </w:pPr>
            <w:r>
              <w:t>257,39353</w:t>
            </w:r>
          </w:p>
        </w:tc>
        <w:tc>
          <w:tcPr>
            <w:tcW w:w="1318"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884" w:type="dxa"/>
            <w:gridSpan w:val="2"/>
            <w:shd w:val="clear" w:color="auto" w:fill="auto"/>
            <w:tcMar>
              <w:left w:w="28" w:type="dxa"/>
              <w:right w:w="28" w:type="dxa"/>
            </w:tcMar>
            <w:vAlign w:val="center"/>
          </w:tcPr>
          <w:p w:rsidR="00155862" w:rsidRPr="005D1D97" w:rsidRDefault="00155862" w:rsidP="001C3CE0">
            <w:pPr>
              <w:pStyle w:val="Tabloiyazs"/>
            </w:pPr>
            <w:r>
              <w:t>288599</w:t>
            </w:r>
          </w:p>
        </w:tc>
        <w:tc>
          <w:tcPr>
            <w:tcW w:w="1330"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88" w:type="dxa"/>
            <w:gridSpan w:val="2"/>
            <w:shd w:val="clear" w:color="auto" w:fill="auto"/>
            <w:tcMar>
              <w:left w:w="28" w:type="dxa"/>
              <w:right w:w="28" w:type="dxa"/>
            </w:tcMar>
            <w:vAlign w:val="center"/>
          </w:tcPr>
          <w:p w:rsidR="00155862" w:rsidRPr="005D1D97" w:rsidRDefault="00155862" w:rsidP="001C3CE0">
            <w:pPr>
              <w:pStyle w:val="Tabloiyazs"/>
            </w:pPr>
            <w:r>
              <w:t>62</w:t>
            </w:r>
          </w:p>
        </w:tc>
        <w:tc>
          <w:tcPr>
            <w:tcW w:w="609" w:type="dxa"/>
            <w:shd w:val="clear" w:color="auto" w:fill="auto"/>
            <w:tcMar>
              <w:left w:w="28" w:type="dxa"/>
              <w:right w:w="28" w:type="dxa"/>
            </w:tcMar>
            <w:vAlign w:val="center"/>
          </w:tcPr>
          <w:p w:rsidR="00155862" w:rsidRPr="005D1D97" w:rsidRDefault="00155862" w:rsidP="001C3CE0">
            <w:pPr>
              <w:pStyle w:val="Tabloiyazs"/>
            </w:pPr>
            <w:r>
              <w:t>62</w:t>
            </w:r>
          </w:p>
        </w:tc>
      </w:tr>
      <w:tr w:rsidR="00155862" w:rsidRPr="005D1D97" w:rsidTr="001C3CE0">
        <w:tblPrEx>
          <w:tblCellMar>
            <w:left w:w="120" w:type="dxa"/>
            <w:right w:w="120" w:type="dxa"/>
          </w:tblCellMar>
        </w:tblPrEx>
        <w:trPr>
          <w:gridAfter w:val="2"/>
          <w:wAfter w:w="45" w:type="dxa"/>
          <w:trHeight w:hRule="exact" w:val="284"/>
          <w:jc w:val="center"/>
        </w:trPr>
        <w:tc>
          <w:tcPr>
            <w:tcW w:w="1271" w:type="dxa"/>
            <w:shd w:val="clear" w:color="auto" w:fill="auto"/>
            <w:tcMar>
              <w:left w:w="28" w:type="dxa"/>
              <w:right w:w="28" w:type="dxa"/>
            </w:tcMar>
            <w:vAlign w:val="center"/>
          </w:tcPr>
          <w:p w:rsidR="00155862" w:rsidRPr="005D1D97" w:rsidRDefault="00155862" w:rsidP="001C3CE0">
            <w:pPr>
              <w:pStyle w:val="Tabloiyazs"/>
            </w:pPr>
            <w:r>
              <w:t>2017-2018</w:t>
            </w:r>
          </w:p>
        </w:tc>
        <w:tc>
          <w:tcPr>
            <w:tcW w:w="1097" w:type="dxa"/>
            <w:gridSpan w:val="2"/>
            <w:shd w:val="clear" w:color="auto" w:fill="auto"/>
            <w:tcMar>
              <w:left w:w="28" w:type="dxa"/>
              <w:right w:w="28" w:type="dxa"/>
            </w:tcMar>
            <w:vAlign w:val="center"/>
          </w:tcPr>
          <w:p w:rsidR="00155862" w:rsidRPr="00CA04EA" w:rsidRDefault="00155862" w:rsidP="001C3CE0">
            <w:pPr>
              <w:pStyle w:val="Tabloiyazs"/>
            </w:pPr>
            <w:r w:rsidRPr="00CA04EA">
              <w:t>231,12667</w:t>
            </w:r>
          </w:p>
        </w:tc>
        <w:tc>
          <w:tcPr>
            <w:tcW w:w="1222" w:type="dxa"/>
            <w:gridSpan w:val="3"/>
            <w:shd w:val="clear" w:color="auto" w:fill="auto"/>
            <w:tcMar>
              <w:left w:w="28" w:type="dxa"/>
              <w:right w:w="28" w:type="dxa"/>
            </w:tcMar>
            <w:vAlign w:val="center"/>
          </w:tcPr>
          <w:p w:rsidR="00155862" w:rsidRPr="00CA04EA" w:rsidRDefault="00155862" w:rsidP="001C3CE0">
            <w:pPr>
              <w:pStyle w:val="Tabloiyazs"/>
            </w:pPr>
            <w:r w:rsidRPr="00CA04EA">
              <w:t xml:space="preserve">245,51321         </w:t>
            </w:r>
          </w:p>
        </w:tc>
        <w:tc>
          <w:tcPr>
            <w:tcW w:w="1318" w:type="dxa"/>
            <w:gridSpan w:val="2"/>
            <w:shd w:val="clear" w:color="auto" w:fill="auto"/>
            <w:tcMar>
              <w:left w:w="28" w:type="dxa"/>
              <w:right w:w="28" w:type="dxa"/>
            </w:tcMar>
            <w:vAlign w:val="center"/>
          </w:tcPr>
          <w:p w:rsidR="00155862" w:rsidRPr="00CA04EA" w:rsidRDefault="00155862" w:rsidP="001C3CE0">
            <w:pPr>
              <w:pStyle w:val="Tabloiyazs"/>
            </w:pPr>
            <w:r w:rsidRPr="00CA04EA">
              <w:t>MF-1</w:t>
            </w:r>
          </w:p>
        </w:tc>
        <w:tc>
          <w:tcPr>
            <w:tcW w:w="884" w:type="dxa"/>
            <w:gridSpan w:val="2"/>
            <w:shd w:val="clear" w:color="auto" w:fill="auto"/>
            <w:tcMar>
              <w:left w:w="28" w:type="dxa"/>
              <w:right w:w="28" w:type="dxa"/>
            </w:tcMar>
            <w:vAlign w:val="center"/>
          </w:tcPr>
          <w:p w:rsidR="00155862" w:rsidRPr="00CA04EA" w:rsidRDefault="00155862" w:rsidP="001C3CE0">
            <w:pPr>
              <w:pStyle w:val="Tabloiyazs"/>
            </w:pPr>
            <w:r w:rsidRPr="00CA04EA">
              <w:t>273386</w:t>
            </w:r>
          </w:p>
        </w:tc>
        <w:tc>
          <w:tcPr>
            <w:tcW w:w="1330" w:type="dxa"/>
            <w:gridSpan w:val="2"/>
            <w:shd w:val="clear" w:color="auto" w:fill="auto"/>
            <w:tcMar>
              <w:left w:w="28" w:type="dxa"/>
              <w:right w:w="28" w:type="dxa"/>
            </w:tcMar>
            <w:vAlign w:val="center"/>
          </w:tcPr>
          <w:p w:rsidR="00155862" w:rsidRPr="00CA04EA" w:rsidRDefault="00155862" w:rsidP="001C3CE0">
            <w:pPr>
              <w:pStyle w:val="Tabloiyazs"/>
            </w:pPr>
            <w:r>
              <w:t>-</w:t>
            </w:r>
          </w:p>
        </w:tc>
        <w:tc>
          <w:tcPr>
            <w:tcW w:w="1188" w:type="dxa"/>
            <w:gridSpan w:val="2"/>
            <w:shd w:val="clear" w:color="auto" w:fill="auto"/>
            <w:tcMar>
              <w:left w:w="28" w:type="dxa"/>
              <w:right w:w="28" w:type="dxa"/>
            </w:tcMar>
            <w:vAlign w:val="center"/>
          </w:tcPr>
          <w:p w:rsidR="00155862" w:rsidRPr="00CA04EA" w:rsidRDefault="00155862" w:rsidP="001C3CE0">
            <w:pPr>
              <w:pStyle w:val="Tabloiyazs"/>
            </w:pPr>
            <w:r w:rsidRPr="00CA04EA">
              <w:t>6</w:t>
            </w:r>
            <w:r>
              <w:t>2</w:t>
            </w:r>
          </w:p>
        </w:tc>
        <w:tc>
          <w:tcPr>
            <w:tcW w:w="609" w:type="dxa"/>
            <w:shd w:val="clear" w:color="auto" w:fill="auto"/>
            <w:tcMar>
              <w:left w:w="28" w:type="dxa"/>
              <w:right w:w="28" w:type="dxa"/>
            </w:tcMar>
            <w:vAlign w:val="center"/>
          </w:tcPr>
          <w:p w:rsidR="00155862" w:rsidRPr="00CA04EA" w:rsidRDefault="00155862" w:rsidP="001C3CE0">
            <w:pPr>
              <w:pStyle w:val="Tabloiyazs"/>
            </w:pPr>
            <w:r>
              <w:t>62</w:t>
            </w:r>
          </w:p>
        </w:tc>
      </w:tr>
      <w:tr w:rsidR="00155862" w:rsidRPr="00C71A71" w:rsidTr="001C3CE0">
        <w:trPr>
          <w:trHeight w:hRule="exact" w:val="284"/>
          <w:jc w:val="center"/>
        </w:trPr>
        <w:tc>
          <w:tcPr>
            <w:tcW w:w="8964" w:type="dxa"/>
            <w:gridSpan w:val="17"/>
            <w:shd w:val="clear" w:color="auto" w:fill="auto"/>
            <w:tcMar>
              <w:left w:w="28" w:type="dxa"/>
              <w:right w:w="28" w:type="dxa"/>
            </w:tcMar>
            <w:vAlign w:val="center"/>
          </w:tcPr>
          <w:p w:rsidR="00155862" w:rsidRPr="003C0E20" w:rsidRDefault="00155862" w:rsidP="001C3CE0">
            <w:pPr>
              <w:pStyle w:val="Tabloiyazs"/>
            </w:pPr>
            <w:r w:rsidRPr="003C0E20">
              <w:t>İkinci Öğretim</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vMerge w:val="restart"/>
            <w:shd w:val="clear" w:color="auto" w:fill="auto"/>
            <w:tcMar>
              <w:left w:w="28" w:type="dxa"/>
              <w:right w:w="28" w:type="dxa"/>
            </w:tcMar>
            <w:vAlign w:val="center"/>
          </w:tcPr>
          <w:p w:rsidR="00155862" w:rsidRPr="005D1D97" w:rsidRDefault="00155862" w:rsidP="001C3CE0">
            <w:pPr>
              <w:pStyle w:val="Tabloiyazs"/>
            </w:pPr>
            <w:r w:rsidRPr="005D1D97">
              <w:t>Akademik yıl</w:t>
            </w:r>
          </w:p>
        </w:tc>
        <w:tc>
          <w:tcPr>
            <w:tcW w:w="2214" w:type="dxa"/>
            <w:gridSpan w:val="3"/>
            <w:shd w:val="clear" w:color="auto" w:fill="auto"/>
            <w:tcMar>
              <w:left w:w="28" w:type="dxa"/>
              <w:right w:w="28" w:type="dxa"/>
            </w:tcMar>
            <w:vAlign w:val="center"/>
          </w:tcPr>
          <w:p w:rsidR="00155862" w:rsidRPr="005D1D97" w:rsidRDefault="00155862" w:rsidP="001C3CE0">
            <w:pPr>
              <w:pStyle w:val="Tabloiyazs"/>
              <w:rPr>
                <w:vertAlign w:val="superscript"/>
              </w:rPr>
            </w:pPr>
            <w:r w:rsidRPr="005D1D97">
              <w:t>Yerleştirme puanı</w:t>
            </w:r>
          </w:p>
        </w:tc>
        <w:tc>
          <w:tcPr>
            <w:tcW w:w="1192" w:type="dxa"/>
            <w:gridSpan w:val="2"/>
            <w:vMerge w:val="restart"/>
            <w:shd w:val="clear" w:color="auto" w:fill="auto"/>
            <w:tcMar>
              <w:left w:w="28" w:type="dxa"/>
              <w:right w:w="28" w:type="dxa"/>
            </w:tcMar>
            <w:vAlign w:val="center"/>
          </w:tcPr>
          <w:p w:rsidR="00155862" w:rsidRPr="005D1D97" w:rsidRDefault="00155862" w:rsidP="001C3CE0">
            <w:pPr>
              <w:pStyle w:val="Tabloiyazs"/>
            </w:pPr>
            <w:r w:rsidRPr="005D1D97">
              <w:t>Yerleştirme</w:t>
            </w:r>
          </w:p>
          <w:p w:rsidR="00155862" w:rsidRPr="005D1D97" w:rsidRDefault="00155862" w:rsidP="001C3CE0">
            <w:pPr>
              <w:pStyle w:val="Tabloiyazs"/>
            </w:pPr>
            <w:proofErr w:type="gramStart"/>
            <w:r w:rsidRPr="005D1D97">
              <w:t>puan</w:t>
            </w:r>
            <w:proofErr w:type="gramEnd"/>
            <w:r w:rsidRPr="005D1D97">
              <w:t xml:space="preserve"> türü</w:t>
            </w:r>
          </w:p>
        </w:tc>
        <w:tc>
          <w:tcPr>
            <w:tcW w:w="2159" w:type="dxa"/>
            <w:gridSpan w:val="4"/>
            <w:shd w:val="clear" w:color="auto" w:fill="auto"/>
            <w:tcMar>
              <w:left w:w="28" w:type="dxa"/>
              <w:right w:w="28" w:type="dxa"/>
            </w:tcMar>
            <w:vAlign w:val="center"/>
          </w:tcPr>
          <w:p w:rsidR="00155862" w:rsidRPr="005D1D97" w:rsidRDefault="00155862" w:rsidP="001C3CE0">
            <w:pPr>
              <w:pStyle w:val="Tabloiyazs"/>
            </w:pPr>
            <w:r w:rsidRPr="005D1D97">
              <w:t>Sıralama</w:t>
            </w:r>
          </w:p>
        </w:tc>
        <w:tc>
          <w:tcPr>
            <w:tcW w:w="2107" w:type="dxa"/>
            <w:gridSpan w:val="5"/>
            <w:shd w:val="clear" w:color="auto" w:fill="auto"/>
            <w:tcMar>
              <w:left w:w="28" w:type="dxa"/>
              <w:right w:w="28" w:type="dxa"/>
            </w:tcMar>
            <w:vAlign w:val="center"/>
          </w:tcPr>
          <w:p w:rsidR="00155862" w:rsidRPr="005D1D97" w:rsidRDefault="00155862" w:rsidP="001C3CE0">
            <w:pPr>
              <w:pStyle w:val="Tabloiyazs"/>
            </w:pPr>
            <w:r w:rsidRPr="005D1D97">
              <w:t>Öğrenci sayısı</w:t>
            </w:r>
          </w:p>
        </w:tc>
      </w:tr>
      <w:tr w:rsidR="00155862" w:rsidRPr="005D1D97" w:rsidTr="001C3CE0">
        <w:tblPrEx>
          <w:tblCellMar>
            <w:left w:w="120" w:type="dxa"/>
            <w:right w:w="120" w:type="dxa"/>
          </w:tblCellMar>
        </w:tblPrEx>
        <w:trPr>
          <w:gridAfter w:val="1"/>
          <w:wAfter w:w="12" w:type="dxa"/>
          <w:trHeight w:hRule="exact" w:val="430"/>
          <w:jc w:val="center"/>
        </w:trPr>
        <w:tc>
          <w:tcPr>
            <w:tcW w:w="1292" w:type="dxa"/>
            <w:gridSpan w:val="2"/>
            <w:vMerge/>
            <w:shd w:val="clear" w:color="auto" w:fill="auto"/>
            <w:tcMar>
              <w:left w:w="28" w:type="dxa"/>
              <w:right w:w="28" w:type="dxa"/>
            </w:tcMar>
            <w:vAlign w:val="center"/>
          </w:tcPr>
          <w:p w:rsidR="00155862" w:rsidRPr="005D1D97" w:rsidRDefault="00155862" w:rsidP="001C3CE0">
            <w:pPr>
              <w:pStyle w:val="Tabloiyazs"/>
            </w:pP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rsidRPr="005D1D97">
              <w:t>En düşük</w:t>
            </w:r>
          </w:p>
        </w:tc>
        <w:tc>
          <w:tcPr>
            <w:tcW w:w="1108" w:type="dxa"/>
            <w:shd w:val="clear" w:color="auto" w:fill="auto"/>
            <w:tcMar>
              <w:left w:w="28" w:type="dxa"/>
              <w:right w:w="28" w:type="dxa"/>
            </w:tcMar>
            <w:vAlign w:val="center"/>
          </w:tcPr>
          <w:p w:rsidR="00155862" w:rsidRPr="005D1D97" w:rsidRDefault="00155862" w:rsidP="001C3CE0">
            <w:pPr>
              <w:pStyle w:val="Tabloiyazs"/>
            </w:pPr>
            <w:r w:rsidRPr="005D1D97">
              <w:t>En yüksek</w:t>
            </w:r>
          </w:p>
        </w:tc>
        <w:tc>
          <w:tcPr>
            <w:tcW w:w="1192" w:type="dxa"/>
            <w:gridSpan w:val="2"/>
            <w:vMerge/>
            <w:shd w:val="clear" w:color="auto" w:fill="auto"/>
            <w:tcMar>
              <w:left w:w="28" w:type="dxa"/>
              <w:right w:w="28" w:type="dxa"/>
            </w:tcMar>
            <w:vAlign w:val="center"/>
          </w:tcPr>
          <w:p w:rsidR="00155862" w:rsidRPr="005D1D97" w:rsidRDefault="00155862" w:rsidP="001C3CE0">
            <w:pPr>
              <w:pStyle w:val="Tabloiyazs"/>
            </w:pP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rsidRPr="005D1D97">
              <w:t>En düşük</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rsidRPr="005D1D97">
              <w:t>En yüksek</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rsidRPr="005D1D97">
              <w:t>Kontenjan</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rsidRPr="005D1D97">
              <w:t>Kayıt olan</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Pr="005D1D97" w:rsidRDefault="00155862" w:rsidP="001C3CE0">
            <w:pPr>
              <w:pStyle w:val="Tabloiyazs"/>
            </w:pPr>
            <w:r>
              <w:t>2012-2013</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224,22704</w:t>
            </w:r>
          </w:p>
        </w:tc>
        <w:tc>
          <w:tcPr>
            <w:tcW w:w="1108" w:type="dxa"/>
            <w:shd w:val="clear" w:color="auto" w:fill="auto"/>
            <w:tcMar>
              <w:left w:w="28" w:type="dxa"/>
              <w:right w:w="28" w:type="dxa"/>
            </w:tcMar>
            <w:vAlign w:val="center"/>
          </w:tcPr>
          <w:p w:rsidR="00155862" w:rsidRPr="005D1D97" w:rsidRDefault="00155862" w:rsidP="001C3CE0">
            <w:pPr>
              <w:pStyle w:val="Tabloiyazs"/>
            </w:pPr>
            <w:r>
              <w:t>279,20054</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233619</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152383</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82</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82</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Pr="005D1D97" w:rsidRDefault="00155862" w:rsidP="001C3CE0">
            <w:pPr>
              <w:pStyle w:val="Tabloiyazs"/>
            </w:pPr>
            <w:r>
              <w:t>2013-2014</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201,58585</w:t>
            </w:r>
          </w:p>
        </w:tc>
        <w:tc>
          <w:tcPr>
            <w:tcW w:w="1108" w:type="dxa"/>
            <w:shd w:val="clear" w:color="auto" w:fill="auto"/>
            <w:tcMar>
              <w:left w:w="28" w:type="dxa"/>
              <w:right w:w="28" w:type="dxa"/>
            </w:tcMar>
            <w:vAlign w:val="center"/>
          </w:tcPr>
          <w:p w:rsidR="00155862" w:rsidRPr="005D1D97" w:rsidRDefault="00155862" w:rsidP="001C3CE0">
            <w:pPr>
              <w:pStyle w:val="Tabloiyazs"/>
            </w:pPr>
            <w:r>
              <w:t>240,12147</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MF-1</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243000</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82</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16</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Pr="005D1D97" w:rsidRDefault="00155862" w:rsidP="001C3CE0">
            <w:pPr>
              <w:pStyle w:val="Tabloiyazs"/>
            </w:pPr>
            <w:r>
              <w:t>2014-2015</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08" w:type="dxa"/>
            <w:shd w:val="clear" w:color="auto" w:fill="auto"/>
            <w:tcMar>
              <w:left w:w="28" w:type="dxa"/>
              <w:right w:w="28" w:type="dxa"/>
            </w:tcMar>
            <w:vAlign w:val="center"/>
          </w:tcPr>
          <w:p w:rsidR="00155862" w:rsidRPr="005D1D97" w:rsidRDefault="00155862" w:rsidP="001C3CE0">
            <w:pPr>
              <w:pStyle w:val="Tabloiyazs"/>
            </w:pPr>
            <w:r>
              <w:t>-</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Pr="005D1D97" w:rsidRDefault="00155862" w:rsidP="001C3CE0">
            <w:pPr>
              <w:pStyle w:val="Tabloiyazs"/>
            </w:pPr>
            <w:r>
              <w:t>2015-2016</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08" w:type="dxa"/>
            <w:shd w:val="clear" w:color="auto" w:fill="auto"/>
            <w:tcMar>
              <w:left w:w="28" w:type="dxa"/>
              <w:right w:w="28" w:type="dxa"/>
            </w:tcMar>
            <w:vAlign w:val="center"/>
          </w:tcPr>
          <w:p w:rsidR="00155862" w:rsidRPr="005D1D97" w:rsidRDefault="00155862" w:rsidP="001C3CE0">
            <w:pPr>
              <w:pStyle w:val="Tabloiyazs"/>
            </w:pPr>
            <w:r>
              <w:t>-</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Pr="005D1D97" w:rsidRDefault="00155862" w:rsidP="001C3CE0">
            <w:pPr>
              <w:pStyle w:val="Tabloiyazs"/>
            </w:pPr>
            <w:r>
              <w:t>2016-2017</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08" w:type="dxa"/>
            <w:shd w:val="clear" w:color="auto" w:fill="auto"/>
            <w:tcMar>
              <w:left w:w="28" w:type="dxa"/>
              <w:right w:w="28" w:type="dxa"/>
            </w:tcMar>
            <w:vAlign w:val="center"/>
          </w:tcPr>
          <w:p w:rsidR="00155862" w:rsidRPr="005D1D97" w:rsidRDefault="00155862" w:rsidP="001C3CE0">
            <w:pPr>
              <w:pStyle w:val="Tabloiyazs"/>
            </w:pPr>
            <w:r>
              <w:t>-</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w:t>
            </w:r>
          </w:p>
        </w:tc>
      </w:tr>
      <w:tr w:rsidR="00155862" w:rsidRPr="005D1D97" w:rsidTr="001C3CE0">
        <w:tblPrEx>
          <w:tblCellMar>
            <w:left w:w="120" w:type="dxa"/>
            <w:right w:w="120" w:type="dxa"/>
          </w:tblCellMar>
        </w:tblPrEx>
        <w:trPr>
          <w:gridAfter w:val="1"/>
          <w:wAfter w:w="12" w:type="dxa"/>
          <w:trHeight w:hRule="exact" w:val="284"/>
          <w:jc w:val="center"/>
        </w:trPr>
        <w:tc>
          <w:tcPr>
            <w:tcW w:w="1292" w:type="dxa"/>
            <w:gridSpan w:val="2"/>
            <w:shd w:val="clear" w:color="auto" w:fill="auto"/>
            <w:tcMar>
              <w:left w:w="28" w:type="dxa"/>
              <w:right w:w="28" w:type="dxa"/>
            </w:tcMar>
            <w:vAlign w:val="center"/>
          </w:tcPr>
          <w:p w:rsidR="00155862" w:rsidRDefault="00155862" w:rsidP="001C3CE0">
            <w:pPr>
              <w:pStyle w:val="Tabloiyazs"/>
            </w:pPr>
            <w:r>
              <w:t>2017-2018</w:t>
            </w:r>
          </w:p>
        </w:tc>
        <w:tc>
          <w:tcPr>
            <w:tcW w:w="1106"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108" w:type="dxa"/>
            <w:shd w:val="clear" w:color="auto" w:fill="auto"/>
            <w:tcMar>
              <w:left w:w="28" w:type="dxa"/>
              <w:right w:w="28" w:type="dxa"/>
            </w:tcMar>
            <w:vAlign w:val="center"/>
          </w:tcPr>
          <w:p w:rsidR="00155862" w:rsidRPr="005D1D97" w:rsidRDefault="00155862" w:rsidP="001C3CE0">
            <w:pPr>
              <w:pStyle w:val="Tabloiyazs"/>
            </w:pPr>
            <w:r>
              <w:t>-</w:t>
            </w:r>
          </w:p>
        </w:tc>
        <w:tc>
          <w:tcPr>
            <w:tcW w:w="119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952"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207"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74" w:type="dxa"/>
            <w:gridSpan w:val="2"/>
            <w:shd w:val="clear" w:color="auto" w:fill="auto"/>
            <w:tcMar>
              <w:left w:w="28" w:type="dxa"/>
              <w:right w:w="28" w:type="dxa"/>
            </w:tcMar>
            <w:vAlign w:val="center"/>
          </w:tcPr>
          <w:p w:rsidR="00155862" w:rsidRPr="005D1D97" w:rsidRDefault="00155862" w:rsidP="001C3CE0">
            <w:pPr>
              <w:pStyle w:val="Tabloiyazs"/>
            </w:pPr>
            <w:r>
              <w:t>-</w:t>
            </w:r>
          </w:p>
        </w:tc>
        <w:tc>
          <w:tcPr>
            <w:tcW w:w="1033" w:type="dxa"/>
            <w:gridSpan w:val="3"/>
            <w:shd w:val="clear" w:color="auto" w:fill="auto"/>
            <w:tcMar>
              <w:left w:w="28" w:type="dxa"/>
              <w:right w:w="28" w:type="dxa"/>
            </w:tcMar>
            <w:vAlign w:val="center"/>
          </w:tcPr>
          <w:p w:rsidR="00155862" w:rsidRPr="005D1D97" w:rsidRDefault="00155862" w:rsidP="001C3CE0">
            <w:pPr>
              <w:pStyle w:val="Tabloiyazs"/>
            </w:pPr>
            <w:r>
              <w:t>-</w:t>
            </w:r>
          </w:p>
        </w:tc>
      </w:tr>
    </w:tbl>
    <w:p w:rsidR="00155862" w:rsidRDefault="00155862" w:rsidP="00155862">
      <w:pPr>
        <w:pStyle w:val="ListeParagraf"/>
        <w:autoSpaceDE w:val="0"/>
        <w:autoSpaceDN w:val="0"/>
        <w:adjustRightInd w:val="0"/>
        <w:ind w:left="375"/>
        <w:rPr>
          <w:b/>
          <w:sz w:val="26"/>
          <w:szCs w:val="26"/>
        </w:rPr>
      </w:pPr>
    </w:p>
    <w:p w:rsidR="00155862" w:rsidRPr="003C0E20" w:rsidRDefault="00155862" w:rsidP="00155862">
      <w:pPr>
        <w:pStyle w:val="Balk3"/>
      </w:pPr>
      <w:r>
        <w:t xml:space="preserve">1.2 </w:t>
      </w:r>
      <w:r w:rsidRPr="003C0E20">
        <w:t xml:space="preserve">Yatay ve Diğer Geçişler, Ders Saydırma </w:t>
      </w:r>
    </w:p>
    <w:p w:rsidR="00155862" w:rsidRPr="00B208C4" w:rsidRDefault="00155862" w:rsidP="00155862">
      <w:pPr>
        <w:pStyle w:val="Paragraflar"/>
      </w:pPr>
      <w:r w:rsidRPr="00B208C4">
        <w:t xml:space="preserve">ESOGÜ İstatistik Bölümü’ne 2547 sayılı Yükseköğretim Kanununun 7. maddesinin birinci fıkrasının (e) bendine ve 24/04/2010 tarih ve 27561 sayılı Resmi </w:t>
      </w:r>
      <w:proofErr w:type="spellStart"/>
      <w:r w:rsidRPr="00B208C4">
        <w:t>Gazete'de</w:t>
      </w:r>
      <w:proofErr w:type="spellEnd"/>
      <w:r w:rsidRPr="00B208C4">
        <w:t xml:space="preserve"> yayımlanan Yükseköğretim Kurumlarında </w:t>
      </w:r>
      <w:proofErr w:type="spellStart"/>
      <w:r w:rsidRPr="00B208C4">
        <w:t>Önlisans</w:t>
      </w:r>
      <w:proofErr w:type="spellEnd"/>
      <w:r w:rsidRPr="00B208C4">
        <w:t xml:space="preserve"> ve Lisans Düzeyindeki Programlar Arasında Geçiş, Çift </w:t>
      </w:r>
      <w:proofErr w:type="spellStart"/>
      <w:r w:rsidRPr="00B208C4">
        <w:t>Anadal</w:t>
      </w:r>
      <w:proofErr w:type="spellEnd"/>
      <w:r w:rsidRPr="00B208C4">
        <w:t xml:space="preserve">, Yan Dal ile Kurumlar Arası Kredi Transferi Yapılması Esaslarına İlişkin Yönetmelik hükümlerine dayanılarak hazırlanan Eskişehir Osmangazi Üniversitesi </w:t>
      </w:r>
      <w:proofErr w:type="spellStart"/>
      <w:r w:rsidRPr="00B208C4">
        <w:t>Önlisans</w:t>
      </w:r>
      <w:proofErr w:type="spellEnd"/>
      <w:r w:rsidRPr="00B208C4">
        <w:t xml:space="preserve"> ve Lisans Düzeyindeki Programlar Arasında Yatay Geçiş Esaslarına İlişkin </w:t>
      </w:r>
      <w:proofErr w:type="spellStart"/>
      <w:r w:rsidRPr="00B208C4">
        <w:t>Yönerge'de</w:t>
      </w:r>
      <w:proofErr w:type="spellEnd"/>
      <w:r w:rsidRPr="00B208C4">
        <w:t xml:space="preserve"> belirtilen </w:t>
      </w:r>
      <w:proofErr w:type="gramStart"/>
      <w:r w:rsidRPr="00B208C4">
        <w:t>kriterlerin</w:t>
      </w:r>
      <w:proofErr w:type="gramEnd"/>
      <w:r w:rsidRPr="00B208C4">
        <w:t xml:space="preserve"> ve ön koşulların sağlanması ile yapılmaktadır. Bu konu da daha detaylı bilgilere </w:t>
      </w:r>
      <w:hyperlink r:id="rId6" w:history="1">
        <w:r w:rsidRPr="00B208C4">
          <w:rPr>
            <w:rStyle w:val="ParagraflarChar"/>
            <w:u w:val="single"/>
          </w:rPr>
          <w:t>http://oidb.ogu.edu.tr/Sayfa/Index/67</w:t>
        </w:r>
      </w:hyperlink>
      <w:r w:rsidRPr="00B208C4">
        <w:t xml:space="preserve"> adresinden ulaşılabilir. </w:t>
      </w:r>
    </w:p>
    <w:p w:rsidR="00155862" w:rsidRPr="003C0E20" w:rsidRDefault="00155862" w:rsidP="00155862">
      <w:pPr>
        <w:pStyle w:val="Balk4"/>
      </w:pPr>
      <w:r w:rsidRPr="003C0E20">
        <w:t>1.2.1 Üniversite İçi Yatay Geçiş</w:t>
      </w:r>
    </w:p>
    <w:p w:rsidR="00155862" w:rsidRDefault="00155862" w:rsidP="00155862">
      <w:pPr>
        <w:pStyle w:val="Paragraflar"/>
      </w:pPr>
      <w:r w:rsidRPr="003C0E20">
        <w:t xml:space="preserve">Bir öğrencinin kayıtlı olduğu yükseköğretim kurumu içindeki aynı düzeydeki diğer diploma programlarına geçişidir. ESOGÜ İçi Yatay Geçişi 22.04.2015 Tarih ve 12/06 sayılı Senato Kararı esas alınmaktadır. Lisans öğretim birimleri için bölümler arası yatay geçiş esasları hakkındaki </w:t>
      </w:r>
      <w:r w:rsidRPr="003C0E20">
        <w:lastRenderedPageBreak/>
        <w:t xml:space="preserve">detaylı bilgilere </w:t>
      </w:r>
      <w:hyperlink r:id="rId7" w:history="1">
        <w:r w:rsidRPr="003C0E20">
          <w:rPr>
            <w:rStyle w:val="Kpr"/>
          </w:rPr>
          <w:t>http://oidb.ogu.edu.tr/Sayfa/Index/67</w:t>
        </w:r>
      </w:hyperlink>
      <w:r w:rsidRPr="003C0E20">
        <w:t xml:space="preserve"> ve  </w:t>
      </w:r>
      <w:hyperlink r:id="rId8" w:history="1">
        <w:r w:rsidRPr="003C0E20">
          <w:rPr>
            <w:rStyle w:val="Kpr"/>
          </w:rPr>
          <w:t>http://oidb.ogu.edu.tr/Sayfa/Index/116</w:t>
        </w:r>
      </w:hyperlink>
      <w:r w:rsidRPr="003C0E20">
        <w:t xml:space="preserve"> adreslerinden ulaşılabilir. </w:t>
      </w:r>
    </w:p>
    <w:p w:rsidR="00155862" w:rsidRPr="0051413C" w:rsidRDefault="00155862" w:rsidP="00155862">
      <w:pPr>
        <w:pStyle w:val="Paragraflar"/>
      </w:pPr>
      <w:r w:rsidRPr="0051413C">
        <w:t>Bu esaslara göre özetle,</w:t>
      </w:r>
    </w:p>
    <w:p w:rsidR="00155862" w:rsidRPr="0051413C" w:rsidRDefault="00155862" w:rsidP="00155862">
      <w:pPr>
        <w:pStyle w:val="ParagrafListesi"/>
      </w:pPr>
      <w:r w:rsidRPr="0051413C">
        <w:t>Üniversite içinde bölümler arası yatay geçiş yalnızca akademik birimlerin kendi içindeki bölümler arasında uygulanır.</w:t>
      </w:r>
    </w:p>
    <w:p w:rsidR="00155862" w:rsidRPr="0051413C" w:rsidRDefault="00155862" w:rsidP="00155862">
      <w:pPr>
        <w:pStyle w:val="ParagrafListesi"/>
      </w:pPr>
      <w:r w:rsidRPr="0051413C">
        <w:t>Bölümler arası yatay geçiş yalnızca 3. yarıyıl başında yapılır. Yatay geçiş başvuruları öğretim yılının başlamasından on (10) gün öncesine kadar yapılabilir.</w:t>
      </w:r>
    </w:p>
    <w:p w:rsidR="00155862" w:rsidRPr="0051413C" w:rsidRDefault="00155862" w:rsidP="00155862">
      <w:pPr>
        <w:pStyle w:val="ParagrafListesi"/>
      </w:pPr>
      <w:r w:rsidRPr="0051413C">
        <w:t>Öğrencinin ayrılacağı bölümün 1. ve 2. yarıyıllardaki derslerinin tümünü alarak sınavlarını başarmış olması ve sağladığı genel not ortalamasının en az 3.00 olması gerekir.</w:t>
      </w:r>
    </w:p>
    <w:p w:rsidR="00155862" w:rsidRPr="0051413C" w:rsidRDefault="00155862" w:rsidP="00155862">
      <w:pPr>
        <w:pStyle w:val="ParagrafListesi"/>
      </w:pPr>
      <w:r w:rsidRPr="0051413C">
        <w:t>Bölümler arası yatay geçiş kontenjanları; İlgili Akademik Birime başka yükseköğretim kurumlarından yapılacak başvurular için Yükseköğretim Kurulu tarafından belirlenecek yatay geçiş kontenjanlarından ayrı olarak belirlenir.</w:t>
      </w:r>
    </w:p>
    <w:p w:rsidR="00155862" w:rsidRPr="0051413C" w:rsidRDefault="00155862" w:rsidP="00155862">
      <w:pPr>
        <w:pStyle w:val="ParagrafListesi"/>
      </w:pPr>
      <w:r w:rsidRPr="0051413C">
        <w:t xml:space="preserve">Geçiş yapan öğrencinin intibakı Eskişehir Osmangazi Üniversitesi </w:t>
      </w:r>
      <w:proofErr w:type="spellStart"/>
      <w:r>
        <w:t>Ön</w:t>
      </w:r>
      <w:r w:rsidRPr="0051413C">
        <w:t>lisans</w:t>
      </w:r>
      <w:proofErr w:type="spellEnd"/>
      <w:r w:rsidRPr="0051413C">
        <w:t>-Lisans Öğretim ve Sınav Yönetmeliğine uygun olarak, geçiş yapılan bölümce hazırlanır ve İlgili Akademik Birim Yönetim Kurulu onayına sunulur.</w:t>
      </w:r>
    </w:p>
    <w:p w:rsidR="00155862" w:rsidRPr="0051413C" w:rsidRDefault="00155862" w:rsidP="00155862">
      <w:pPr>
        <w:pStyle w:val="ParagrafListesi"/>
      </w:pPr>
      <w:r w:rsidRPr="0051413C">
        <w:t>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155862" w:rsidRPr="0051413C" w:rsidRDefault="00155862" w:rsidP="00155862">
      <w:pPr>
        <w:pStyle w:val="ParagrafListesi"/>
      </w:pPr>
      <w:r w:rsidRPr="0051413C">
        <w:t>Yetenek sınavı ile öğrenci alan diploma programlarına kurum içi yatay geçişlerde diğer şartların yanı sıra yetenek sınavında da başarılı olma şartı aranır.</w:t>
      </w:r>
    </w:p>
    <w:p w:rsidR="00155862" w:rsidRPr="00525A87" w:rsidRDefault="00155862" w:rsidP="00155862">
      <w:pPr>
        <w:pStyle w:val="Balk4"/>
      </w:pPr>
      <w:r>
        <w:t xml:space="preserve">1.2.2 </w:t>
      </w:r>
      <w:r w:rsidRPr="00A3377E">
        <w:t>Üniversite Dışı Yatay Geçiş</w:t>
      </w:r>
    </w:p>
    <w:p w:rsidR="00155862" w:rsidRDefault="00155862" w:rsidP="00155862">
      <w:pPr>
        <w:pStyle w:val="Paragraflar"/>
        <w:rPr>
          <w:rStyle w:val="Gl"/>
          <w:b w:val="0"/>
        </w:rPr>
      </w:pPr>
      <w:r w:rsidRPr="00973130">
        <w:t>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geçiştir. ESOGÜ Üniversite Dışı Yatay Geçişi Yükseköğretim Kurumlarında </w:t>
      </w:r>
      <w:proofErr w:type="spellStart"/>
      <w:r w:rsidRPr="00973130">
        <w:t>Önlisans</w:t>
      </w:r>
      <w:proofErr w:type="spellEnd"/>
      <w:r w:rsidRPr="00973130">
        <w:t xml:space="preserve"> ve Lisans Düzeyindeki Programlar Arasında Geçiş, Çift </w:t>
      </w:r>
      <w:proofErr w:type="spellStart"/>
      <w:r w:rsidRPr="00973130">
        <w:t>Anadal</w:t>
      </w:r>
      <w:proofErr w:type="spellEnd"/>
      <w:r w:rsidRPr="00973130">
        <w:t xml:space="preserve">, </w:t>
      </w:r>
      <w:proofErr w:type="spellStart"/>
      <w:r w:rsidRPr="00973130">
        <w:t>Yandal</w:t>
      </w:r>
      <w:proofErr w:type="spellEnd"/>
      <w:r w:rsidRPr="00973130">
        <w:t xml:space="preserve"> ile </w:t>
      </w:r>
      <w:proofErr w:type="spellStart"/>
      <w:r w:rsidRPr="00973130">
        <w:t>Kurumlararası</w:t>
      </w:r>
      <w:proofErr w:type="spellEnd"/>
      <w:r w:rsidRPr="00973130">
        <w:t xml:space="preserve"> Kredi Transferi Esaslarına İlişkin Yönetmelik </w:t>
      </w:r>
      <w:r w:rsidRPr="00973130">
        <w:rPr>
          <w:rStyle w:val="Gl"/>
        </w:rPr>
        <w:t xml:space="preserve">esas alınmaktadır. Detaylı bilgiye </w:t>
      </w:r>
      <w:hyperlink r:id="rId9" w:history="1">
        <w:r w:rsidRPr="00973130">
          <w:rPr>
            <w:u w:val="single"/>
          </w:rPr>
          <w:t>http://oidb.ogu.edu.tr/Sayfa/Index/67</w:t>
        </w:r>
      </w:hyperlink>
      <w:r w:rsidRPr="00973130">
        <w:rPr>
          <w:rStyle w:val="Gl"/>
        </w:rPr>
        <w:t xml:space="preserve"> adresinden ulaşılabilir.</w:t>
      </w:r>
    </w:p>
    <w:p w:rsidR="00155862" w:rsidRPr="0051413C" w:rsidRDefault="00155862" w:rsidP="00155862">
      <w:pPr>
        <w:pStyle w:val="Paragraflar"/>
        <w:rPr>
          <w:rStyle w:val="Gl"/>
          <w:b w:val="0"/>
        </w:rPr>
      </w:pPr>
      <w:r w:rsidRPr="00973130">
        <w:rPr>
          <w:rStyle w:val="Gl"/>
        </w:rPr>
        <w:t>Bu yönetmeliğe göre özetle,</w:t>
      </w:r>
    </w:p>
    <w:p w:rsidR="00155862" w:rsidRPr="0051413C" w:rsidRDefault="00155862" w:rsidP="00155862">
      <w:pPr>
        <w:pStyle w:val="ParagrafListesi"/>
        <w:rPr>
          <w:b/>
        </w:rPr>
      </w:pPr>
      <w:r w:rsidRPr="0051413C">
        <w:t>Kurumlar arası yatay geçiş yükseköğretim kurumlarının aynı düzeydeki eşdeğer diploma programları arasında ve Yükseköğretim Kurulu tarafından yayı</w:t>
      </w:r>
      <w:r>
        <w:t>m</w:t>
      </w:r>
      <w:r w:rsidRPr="0051413C">
        <w:t>lanan kontenjanlar çerçevesinde yapılır.</w:t>
      </w:r>
    </w:p>
    <w:p w:rsidR="00155862" w:rsidRPr="0051413C" w:rsidRDefault="00155862" w:rsidP="00155862">
      <w:pPr>
        <w:pStyle w:val="ParagrafListesi"/>
        <w:rPr>
          <w:b/>
        </w:rPr>
      </w:pPr>
      <w:r w:rsidRPr="0051413C">
        <w:t>Kurumlar arası yatay geçiş için öğrencinin, kayıtlı olduğu programda bitirmiş olduğu dönemlere ait genel not ortalamasının en az 100 üzerinden 60 olması şarttır.</w:t>
      </w:r>
    </w:p>
    <w:p w:rsidR="00155862" w:rsidRPr="0051413C" w:rsidRDefault="00155862" w:rsidP="00155862">
      <w:pPr>
        <w:pStyle w:val="ParagrafListesi"/>
        <w:rPr>
          <w:b/>
        </w:rPr>
      </w:pPr>
      <w:r w:rsidRPr="0051413C">
        <w:t>Yükseköğretim kurumlarının belirlenen yatay geçiş kontenjanları ile başvuru ve değerlendirme takvimi, Yükseköğretim Kurulu internet sayfasında ilan edilir.</w:t>
      </w:r>
    </w:p>
    <w:p w:rsidR="00155862" w:rsidRPr="0051413C" w:rsidRDefault="00155862" w:rsidP="00155862">
      <w:pPr>
        <w:pStyle w:val="ParagrafListesi"/>
        <w:rPr>
          <w:b/>
        </w:rPr>
      </w:pPr>
      <w:proofErr w:type="spellStart"/>
      <w:r w:rsidRPr="0051413C">
        <w:t>Önlisans</w:t>
      </w:r>
      <w:proofErr w:type="spellEnd"/>
      <w:r w:rsidRPr="0051413C">
        <w:t xml:space="preserve"> derecesi verilen diploma programlarında yatay geçiş kontenjanları ile başvuru ve değerlendirme takvimi ikinci yarıyıl için Ocak ayı, üçüncü yarıyıl için ise Temmuz ayı içinde ilan edilir.</w:t>
      </w:r>
    </w:p>
    <w:p w:rsidR="00155862" w:rsidRPr="00973130" w:rsidRDefault="00155862" w:rsidP="00155862">
      <w:pPr>
        <w:pStyle w:val="ParagrafListesi"/>
        <w:rPr>
          <w:b/>
        </w:rPr>
      </w:pPr>
      <w:r w:rsidRPr="0051413C">
        <w:lastRenderedPageBreak/>
        <w:t>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155862" w:rsidRPr="0051413C" w:rsidRDefault="00155862" w:rsidP="00155862">
      <w:pPr>
        <w:pStyle w:val="Balk4"/>
      </w:pPr>
      <w:r w:rsidRPr="0051413C">
        <w:t>1.2.3 Dikey Geçiş ve Ders Saydırma</w:t>
      </w:r>
    </w:p>
    <w:p w:rsidR="00155862" w:rsidRPr="00973130" w:rsidRDefault="00155862" w:rsidP="00155862">
      <w:pPr>
        <w:pStyle w:val="Paragraflar"/>
      </w:pPr>
      <w:r w:rsidRPr="00973130">
        <w:t>Dikey Geçiş ile Fakültemizde öğrencilik hakkını elde etmiş öğrenciler, önceki programda aldıkları derslere ilişkin not belgesi ile ders içeriklerini, </w:t>
      </w:r>
      <w:r w:rsidRPr="00973130">
        <w:rPr>
          <w:rStyle w:val="Gl"/>
        </w:rPr>
        <w:t>dönemin ilk haftası içinde </w:t>
      </w:r>
      <w:r w:rsidRPr="00973130">
        <w:t xml:space="preserve">Bölüm Başkanlığına teslim ederler. Bölüm İntibak Komisyonu tarafından bir ders intibak programı hazırlanır. Hazırlanan intibak programı Bölüm Kurulu tarafından incelenerek Dekanlık Makamına onay için sunulur.  Yönetim Kurulu onayından sonra, Öğrenci İşleri Dairesi Başkanlığı (ÖİDB) tarafından bilgi sistemine işlenir. Bilgi sisteminde, intibak programında muaf sayılan dersler öğrenci tarafından görülebilir. Meslek Yüksek Okulu (MYO) ve Açık Öğretim Fakültesi (AÖF) </w:t>
      </w:r>
      <w:proofErr w:type="spellStart"/>
      <w:r w:rsidRPr="00973130">
        <w:t>Önlisans</w:t>
      </w:r>
      <w:proofErr w:type="spellEnd"/>
      <w:r w:rsidRPr="00973130">
        <w:t xml:space="preserve"> Programları Mezunlarının Lisans Öğrenimine Devamları Hakkında Yönetmeliğe  </w:t>
      </w:r>
      <w:hyperlink r:id="rId10" w:history="1">
        <w:r w:rsidRPr="00973130">
          <w:rPr>
            <w:u w:val="single"/>
          </w:rPr>
          <w:t>http://oidb.ogu.edu.tr/Sayfa/Index/46</w:t>
        </w:r>
      </w:hyperlink>
      <w:r w:rsidRPr="00973130">
        <w:t xml:space="preserve"> adresinden ulaşılabilir.  Ders eşdeğerlilik/muafiyet ve intibak esasları aşağıda belirtilmiştir.</w:t>
      </w:r>
    </w:p>
    <w:p w:rsidR="00155862" w:rsidRPr="0051413C" w:rsidRDefault="00155862" w:rsidP="00155862">
      <w:pPr>
        <w:pStyle w:val="ParagrafListesi"/>
      </w:pPr>
      <w:proofErr w:type="gramStart"/>
      <w:r w:rsidRPr="0051413C">
        <w:t xml:space="preserve">İntibak komisyonunca bölüm eğitim planı birinci sınıf derslerinden 0-44 AKTS kredi arasında ders muafiyeti alan öğrenciler birinci sınıfa, 45-104 AKTS kredi arasında ders muafiyeti alan ikinci sınıfa, 105-164 AKTS kredi arasında ders muafiyeti alan öğrenciler üçüncü sınıfa, 165-240 AKTS kredi arasında ders muafiyeti alan öğrenciler dördüncü sınıfa intibakları yapılır. </w:t>
      </w:r>
      <w:proofErr w:type="gramEnd"/>
      <w:r w:rsidRPr="0051413C">
        <w:t>İkinci sınıfa intibakları yapılan öğrenciler bölümler arası yatay geçiş yapamazlar.</w:t>
      </w:r>
    </w:p>
    <w:p w:rsidR="00155862" w:rsidRPr="0051413C" w:rsidRDefault="00155862" w:rsidP="00155862">
      <w:pPr>
        <w:pStyle w:val="ParagrafListesi"/>
      </w:pPr>
      <w:r w:rsidRPr="0051413C">
        <w:t>2011 ve sonrası girişli öğrencilerin mezun olabilmeleri için toplam 240 ECTS (AKTS) ders almaları gerekmektedir. Öğrenciler kendi bölümleri haricinde başka bölümlerden ders almaları durumunda, ECTS (AKTS)  kredileri eşit ya da daha fazla olan derslere kayıt yaptırmaları gerekmektedir. Aksi halde toplam ECTS (AKTS) kredisi 240’dan düşük olacağından, mezun olabilmeleri için ek ders almaları gerecektir.</w:t>
      </w:r>
    </w:p>
    <w:p w:rsidR="00155862" w:rsidRPr="0051413C" w:rsidRDefault="00155862" w:rsidP="00155862">
      <w:pPr>
        <w:pStyle w:val="Paragraflar"/>
      </w:pPr>
      <w:r w:rsidRPr="0051413C">
        <w:t>Eskişehir Osmangazi Üniversitesi’nin lisans düzeyinde akademik birimlerine yatay geçişlerde ve bir başka yükseköğrenim kurumunda öğrenim görülen her türlü ders eşdeğerliliği /muafiyet ve intibaklar, aşağıdaki esaslar çerçevesinde yapılır.</w:t>
      </w:r>
    </w:p>
    <w:p w:rsidR="00155862" w:rsidRPr="0051413C" w:rsidRDefault="00155862" w:rsidP="00155862">
      <w:pPr>
        <w:pStyle w:val="ParagrafListesi"/>
      </w:pPr>
      <w:r w:rsidRPr="0051413C">
        <w:t>Öğrenci, ders eşdeğerliliği ile ilgili isteğini, ilgili bölüm başkanlığına kaydının yapıldığı eğitim-öğretim yarıyılının ilk hafta sonuna kadar yapması gerekir. Dilekçe ekinde intibakı yapılması istenilen derslerin,</w:t>
      </w:r>
    </w:p>
    <w:p w:rsidR="00155862" w:rsidRPr="0051413C" w:rsidRDefault="00155862" w:rsidP="00155862">
      <w:pPr>
        <w:pStyle w:val="ParagrafListesi"/>
        <w:numPr>
          <w:ilvl w:val="1"/>
          <w:numId w:val="1"/>
        </w:numPr>
      </w:pPr>
      <w:r w:rsidRPr="0051413C">
        <w:t>Ders İçerikleri (Dersin amacı, kapsamı ve haftalık ders planı),</w:t>
      </w:r>
    </w:p>
    <w:p w:rsidR="00155862" w:rsidRPr="0051413C" w:rsidRDefault="00155862" w:rsidP="00155862">
      <w:pPr>
        <w:pStyle w:val="ParagrafListesi"/>
        <w:numPr>
          <w:ilvl w:val="1"/>
          <w:numId w:val="1"/>
        </w:numPr>
      </w:pPr>
      <w:r w:rsidRPr="0051413C">
        <w:t>Not Çizelgesi (Transkript),</w:t>
      </w:r>
    </w:p>
    <w:p w:rsidR="00155862" w:rsidRPr="0051413C" w:rsidRDefault="00155862" w:rsidP="00155862">
      <w:pPr>
        <w:pStyle w:val="ParagrafListesi"/>
        <w:numPr>
          <w:ilvl w:val="0"/>
          <w:numId w:val="0"/>
        </w:numPr>
        <w:ind w:left="720"/>
      </w:pPr>
      <w:proofErr w:type="gramStart"/>
      <w:r>
        <w:t>yer</w:t>
      </w:r>
      <w:proofErr w:type="gramEnd"/>
      <w:r>
        <w:t xml:space="preserve"> </w:t>
      </w:r>
      <w:r w:rsidRPr="0051413C">
        <w:t>almalıdır. Yukarıda belirtilen belgelerin Fakülte/Enstitü/Yüksekokul veya Öğrenci İşleri Daire Başkanlığı yetkililerince imzalanmış, kaşeli ve mühürlü olması gerekir.</w:t>
      </w:r>
    </w:p>
    <w:p w:rsidR="00155862" w:rsidRPr="0051413C" w:rsidRDefault="00155862" w:rsidP="00155862">
      <w:pPr>
        <w:pStyle w:val="ParagrafListesi"/>
      </w:pPr>
      <w:r w:rsidRPr="0051413C">
        <w:t>Belirtilen sürede (kaydını donduran ve izinli sayılan öğrenciler hariç) yapılmayan başvurular değerlendirilmeye alınmaz.</w:t>
      </w:r>
    </w:p>
    <w:p w:rsidR="00155862" w:rsidRPr="0051413C" w:rsidRDefault="00155862" w:rsidP="00155862">
      <w:pPr>
        <w:pStyle w:val="ParagrafListesi"/>
      </w:pPr>
      <w:r w:rsidRPr="0051413C">
        <w:t xml:space="preserve">Bölümler tarafından kurulan Bölüm İntibak Komisyonu, yapılan başvuruları 1 (bir) hafta içerisinde değerlendirir. Bölüm İntibak Komisyonu tarafından değerlendirilen intibak formları ilgili Fakülte Yönetim Kurulu tarafından onaylanır ve imza karşılığı öğrenciye verilir. Öğrencinin ders eşdeğerliği/muafiyet talebi; ilgili birim yönetim kurulu </w:t>
      </w:r>
      <w:r w:rsidRPr="0051413C">
        <w:lastRenderedPageBreak/>
        <w:t>tarafından incelenerek, muaf olunan kredi sayısına göre intibakı yapılır. İntibakının  yapıldığı sınıftaki öğrenci</w:t>
      </w:r>
      <w:r>
        <w:t>lerin mezuniyet değerlendirme g</w:t>
      </w:r>
      <w:r w:rsidRPr="0051413C">
        <w:t>ruplarına tabi olur ve intibak ettirildiği yıl kadar süre  azami öğrenim süresinden düşülür, öğrencinin bütün öğrenimini kapsayacak şekilde ve bir defaya mahsus olmak üzere karara bağlanır.</w:t>
      </w:r>
    </w:p>
    <w:p w:rsidR="00155862" w:rsidRPr="0051413C" w:rsidRDefault="00155862" w:rsidP="00155862">
      <w:pPr>
        <w:pStyle w:val="ParagrafListesi"/>
      </w:pPr>
      <w:r w:rsidRPr="0051413C">
        <w:t>Öğrenci, onaylanan intibak formuna itirazı durumunda, itiraz süresi en geç eğitim-öğretim yılının üçüncü haftasının sonuna kadardır. İtirazlar bölüm intibak komisyonunca değerlendirilir ve ilgili Fakülte Yönetim Kurulunca eğitim-öğretim yılının beşinci haftasında sonuçlandırılır.</w:t>
      </w:r>
    </w:p>
    <w:p w:rsidR="00155862" w:rsidRPr="0051413C" w:rsidRDefault="00155862" w:rsidP="00155862">
      <w:pPr>
        <w:pStyle w:val="ParagrafListesi"/>
      </w:pPr>
      <w:r w:rsidRPr="0051413C">
        <w:t>Bölüm İntibak Komisyonunca bir dersin eşdeğer sayılabilmesi için aşağıda belirtilen hususlara uyulması gerekir;</w:t>
      </w:r>
    </w:p>
    <w:p w:rsidR="00155862" w:rsidRPr="0051413C" w:rsidRDefault="00155862" w:rsidP="00155862">
      <w:pPr>
        <w:pStyle w:val="ParagrafListesi"/>
        <w:numPr>
          <w:ilvl w:val="1"/>
          <w:numId w:val="1"/>
        </w:numPr>
      </w:pPr>
      <w:r w:rsidRPr="0051413C">
        <w:t>Eşdeğer ders değerlendirmeleri için, başarı notunu 4.00 üzerinden en az 2.00 (veya eşdeğeri)  kadar olmalıdır.</w:t>
      </w:r>
    </w:p>
    <w:p w:rsidR="00155862" w:rsidRPr="0051413C" w:rsidRDefault="00155862" w:rsidP="00155862">
      <w:pPr>
        <w:pStyle w:val="ParagrafListesi"/>
        <w:numPr>
          <w:ilvl w:val="1"/>
          <w:numId w:val="1"/>
        </w:numPr>
      </w:pPr>
      <w:r w:rsidRPr="0051413C">
        <w:t xml:space="preserve">Lisans ve </w:t>
      </w:r>
      <w:proofErr w:type="spellStart"/>
      <w:r w:rsidRPr="0051413C">
        <w:t>Önlisans</w:t>
      </w:r>
      <w:proofErr w:type="spellEnd"/>
      <w:r w:rsidRPr="0051413C">
        <w:t xml:space="preserve"> düzeyinde alınan ve başarılan Sosyal Seçmeli I ve II, Temel Bilgi Teknolojileri Kullanımı, Yabancı Dil I ve II, Türkçe ile Atatürk İlkeleri ve İnkılap Tarihi dersleri, kredilerine bakılmaksızın eşdeğer sayılır.</w:t>
      </w:r>
    </w:p>
    <w:p w:rsidR="00155862" w:rsidRPr="0051413C" w:rsidRDefault="00155862" w:rsidP="00155862">
      <w:pPr>
        <w:pStyle w:val="ParagrafListesi"/>
        <w:numPr>
          <w:ilvl w:val="1"/>
          <w:numId w:val="1"/>
        </w:numPr>
      </w:pPr>
      <w:r w:rsidRPr="0051413C">
        <w:t>Örgün olmayan (uzaktan eğitim, açık öğretim, vb.) öğretim kurumlarından alınan derslerin eşdeğerliliği de geçerlidir.</w:t>
      </w:r>
    </w:p>
    <w:p w:rsidR="00155862" w:rsidRPr="0051413C" w:rsidRDefault="00155862" w:rsidP="00155862">
      <w:pPr>
        <w:pStyle w:val="ParagrafListesi"/>
        <w:numPr>
          <w:ilvl w:val="1"/>
          <w:numId w:val="1"/>
        </w:numPr>
      </w:pPr>
      <w:r w:rsidRPr="0051413C">
        <w:t>Eşdeğer sayılması istenen bir dersin adının, eşdeğer sayılacak ders ile birebir aynı olması gerekmez. Ders eşdeğerlilik değerlendirmesinde dersin kredisi ve içeriği dikkate alınır.</w:t>
      </w:r>
    </w:p>
    <w:p w:rsidR="00155862" w:rsidRPr="0051413C" w:rsidRDefault="00155862" w:rsidP="00155862">
      <w:pPr>
        <w:pStyle w:val="ParagrafListesi"/>
        <w:numPr>
          <w:ilvl w:val="1"/>
          <w:numId w:val="1"/>
        </w:numPr>
      </w:pPr>
      <w:r w:rsidRPr="0051413C">
        <w:t>Eşdeğer sayılması istenen bir dersin kredisinin ders saatine bakılmaksızın, en az eşdeğer sayılacak dersin kredisinin %75’ine eşit olması gereklidir.</w:t>
      </w:r>
    </w:p>
    <w:p w:rsidR="00155862" w:rsidRPr="0051413C" w:rsidRDefault="00155862" w:rsidP="00155862">
      <w:pPr>
        <w:pStyle w:val="ParagrafListesi"/>
        <w:numPr>
          <w:ilvl w:val="1"/>
          <w:numId w:val="1"/>
        </w:numPr>
      </w:pPr>
      <w:r w:rsidRPr="0051413C">
        <w:t>Eşdeğer sayılması istenen dersin içeriğinin (dersin haftalık ders planı temel alınarak) en az %75’nin, eşdeğer sayılacak dersin içeriği ile aynı olması gerekir.</w:t>
      </w:r>
    </w:p>
    <w:p w:rsidR="00155862" w:rsidRPr="0051413C" w:rsidRDefault="00155862" w:rsidP="00155862">
      <w:pPr>
        <w:pStyle w:val="ParagrafListesi"/>
        <w:numPr>
          <w:ilvl w:val="1"/>
          <w:numId w:val="1"/>
        </w:numPr>
      </w:pPr>
      <w:r w:rsidRPr="0051413C">
        <w:t>Eşdeğer sayılması istenen bir dersin yerel kredisi yoksa dersin ECTS (AKTS) kredisinin %75’ine eşit olmalıdır.</w:t>
      </w:r>
    </w:p>
    <w:p w:rsidR="00155862" w:rsidRPr="0051413C" w:rsidRDefault="00155862" w:rsidP="00155862">
      <w:pPr>
        <w:pStyle w:val="ParagrafListesi"/>
        <w:numPr>
          <w:ilvl w:val="1"/>
          <w:numId w:val="1"/>
        </w:numPr>
      </w:pPr>
      <w:r w:rsidRPr="0051413C">
        <w:t>Öğrenim süresi içerisinde ilgili birim yönetim kurulu kararı olmadan diğer bir yükseköğretim kurumundan alınan dersler eşdeğer kabul edilmez.</w:t>
      </w:r>
    </w:p>
    <w:p w:rsidR="00155862" w:rsidRPr="0051413C" w:rsidRDefault="00155862" w:rsidP="00155862">
      <w:pPr>
        <w:pStyle w:val="Paragraflar"/>
      </w:pPr>
      <w:r w:rsidRPr="0051413C">
        <w:t xml:space="preserve">İstatistik Bölümü’ne Dikey Geçiş Sınavı ile geçiş yapabilmek için öğrencilerin aşağıdaki </w:t>
      </w:r>
      <w:proofErr w:type="spellStart"/>
      <w:r>
        <w:t>Önlisans</w:t>
      </w:r>
      <w:proofErr w:type="spellEnd"/>
      <w:r w:rsidRPr="0051413C">
        <w:t xml:space="preserve"> alanlarından birinden mezun olmaları gerekmektedir.</w:t>
      </w:r>
    </w:p>
    <w:tbl>
      <w:tblPr>
        <w:tblStyle w:val="TabloKlavuzu"/>
        <w:tblW w:w="0" w:type="auto"/>
        <w:tblInd w:w="108" w:type="dxa"/>
        <w:tblLook w:val="04A0" w:firstRow="1" w:lastRow="0" w:firstColumn="1" w:lastColumn="0" w:noHBand="0" w:noVBand="1"/>
      </w:tblPr>
      <w:tblGrid>
        <w:gridCol w:w="4424"/>
        <w:gridCol w:w="4530"/>
      </w:tblGrid>
      <w:tr w:rsidR="00155862" w:rsidRPr="00973130" w:rsidTr="001C3CE0">
        <w:trPr>
          <w:trHeight w:val="143"/>
        </w:trPr>
        <w:tc>
          <w:tcPr>
            <w:tcW w:w="4498" w:type="dxa"/>
          </w:tcPr>
          <w:p w:rsidR="00155862" w:rsidRPr="00973130" w:rsidRDefault="00155862" w:rsidP="001C3CE0">
            <w:pPr>
              <w:pStyle w:val="Tabloiyazs"/>
              <w:spacing w:after="0"/>
            </w:pPr>
            <w:r w:rsidRPr="00973130">
              <w:t>Kalite Kontrol</w:t>
            </w:r>
          </w:p>
        </w:tc>
        <w:tc>
          <w:tcPr>
            <w:tcW w:w="4606" w:type="dxa"/>
          </w:tcPr>
          <w:p w:rsidR="00155862" w:rsidRPr="00973130" w:rsidRDefault="00155862" w:rsidP="001C3CE0">
            <w:pPr>
              <w:pStyle w:val="Tabloiyazs"/>
              <w:spacing w:after="0"/>
            </w:pPr>
            <w:r w:rsidRPr="00973130">
              <w:t>Bilgisayar Programlama</w:t>
            </w:r>
          </w:p>
        </w:tc>
      </w:tr>
      <w:tr w:rsidR="00155862" w:rsidRPr="00973130" w:rsidTr="001C3CE0">
        <w:tc>
          <w:tcPr>
            <w:tcW w:w="4498" w:type="dxa"/>
          </w:tcPr>
          <w:p w:rsidR="00155862" w:rsidRPr="00973130" w:rsidRDefault="00155862" w:rsidP="001C3CE0">
            <w:pPr>
              <w:pStyle w:val="Tabloiyazs"/>
              <w:spacing w:after="0"/>
            </w:pPr>
            <w:r w:rsidRPr="00973130">
              <w:t>Sağlık Bilgi Sistemleri Teknikerliği</w:t>
            </w:r>
          </w:p>
        </w:tc>
        <w:tc>
          <w:tcPr>
            <w:tcW w:w="4606" w:type="dxa"/>
          </w:tcPr>
          <w:p w:rsidR="00155862" w:rsidRPr="00973130" w:rsidRDefault="00155862" w:rsidP="001C3CE0">
            <w:pPr>
              <w:pStyle w:val="Tabloiyazs"/>
              <w:spacing w:after="0"/>
            </w:pPr>
            <w:r w:rsidRPr="00973130">
              <w:t>Bilgisayar Teknolojisi</w:t>
            </w:r>
          </w:p>
        </w:tc>
      </w:tr>
      <w:tr w:rsidR="00155862" w:rsidRPr="00973130" w:rsidTr="001C3CE0">
        <w:tc>
          <w:tcPr>
            <w:tcW w:w="4498" w:type="dxa"/>
          </w:tcPr>
          <w:p w:rsidR="00155862" w:rsidRPr="00973130" w:rsidRDefault="00155862" w:rsidP="001C3CE0">
            <w:pPr>
              <w:pStyle w:val="Tabloiyazs"/>
              <w:spacing w:after="0"/>
            </w:pPr>
            <w:r w:rsidRPr="00973130">
              <w:t>Üretimde Kalite Kontrol</w:t>
            </w:r>
          </w:p>
        </w:tc>
        <w:tc>
          <w:tcPr>
            <w:tcW w:w="4606" w:type="dxa"/>
          </w:tcPr>
          <w:p w:rsidR="00155862" w:rsidRPr="00973130" w:rsidRDefault="00155862" w:rsidP="001C3CE0">
            <w:pPr>
              <w:pStyle w:val="Tabloiyazs"/>
              <w:spacing w:after="0"/>
            </w:pPr>
            <w:r w:rsidRPr="00973130">
              <w:t>Bilgisayar Teknolojisi ve Programlama</w:t>
            </w:r>
          </w:p>
        </w:tc>
      </w:tr>
      <w:tr w:rsidR="00155862" w:rsidRPr="00973130" w:rsidTr="001C3CE0">
        <w:tc>
          <w:tcPr>
            <w:tcW w:w="4498" w:type="dxa"/>
          </w:tcPr>
          <w:p w:rsidR="00155862" w:rsidRPr="00973130" w:rsidRDefault="00155862" w:rsidP="001C3CE0">
            <w:pPr>
              <w:pStyle w:val="Tabloiyazs"/>
              <w:spacing w:after="0"/>
            </w:pPr>
            <w:r w:rsidRPr="00973130">
              <w:t>Bilgi Güvenliği Teknolojisi</w:t>
            </w:r>
          </w:p>
        </w:tc>
        <w:tc>
          <w:tcPr>
            <w:tcW w:w="4606" w:type="dxa"/>
          </w:tcPr>
          <w:p w:rsidR="00155862" w:rsidRPr="00973130" w:rsidRDefault="00155862" w:rsidP="001C3CE0">
            <w:pPr>
              <w:pStyle w:val="Tabloiyazs"/>
              <w:spacing w:after="0"/>
            </w:pPr>
            <w:r w:rsidRPr="00973130">
              <w:t>Bilgisayar Teknolojileri ve Yönetimi</w:t>
            </w:r>
          </w:p>
        </w:tc>
      </w:tr>
      <w:tr w:rsidR="00155862" w:rsidRPr="00973130" w:rsidTr="001C3CE0">
        <w:tc>
          <w:tcPr>
            <w:tcW w:w="4498" w:type="dxa"/>
          </w:tcPr>
          <w:p w:rsidR="00155862" w:rsidRPr="00973130" w:rsidRDefault="00155862" w:rsidP="001C3CE0">
            <w:pPr>
              <w:pStyle w:val="Tabloiyazs"/>
              <w:spacing w:after="0"/>
            </w:pPr>
            <w:r w:rsidRPr="00973130">
              <w:t>Bilgi Teknolojileri</w:t>
            </w:r>
          </w:p>
        </w:tc>
        <w:tc>
          <w:tcPr>
            <w:tcW w:w="4606" w:type="dxa"/>
          </w:tcPr>
          <w:p w:rsidR="00155862" w:rsidRPr="00973130" w:rsidRDefault="00155862" w:rsidP="001C3CE0">
            <w:pPr>
              <w:pStyle w:val="Tabloiyazs"/>
              <w:spacing w:after="0"/>
            </w:pPr>
            <w:r w:rsidRPr="00973130">
              <w:t>Bilgisayar ve Enformasyon Sistemleri</w:t>
            </w:r>
          </w:p>
        </w:tc>
      </w:tr>
      <w:tr w:rsidR="00155862" w:rsidRPr="00973130" w:rsidTr="001C3CE0">
        <w:tc>
          <w:tcPr>
            <w:tcW w:w="4498" w:type="dxa"/>
          </w:tcPr>
          <w:p w:rsidR="00155862" w:rsidRPr="00973130" w:rsidRDefault="00155862" w:rsidP="001C3CE0">
            <w:pPr>
              <w:pStyle w:val="Tabloiyazs"/>
              <w:spacing w:after="0"/>
            </w:pPr>
            <w:r w:rsidRPr="00973130">
              <w:t>Bilgisayar</w:t>
            </w:r>
          </w:p>
        </w:tc>
        <w:tc>
          <w:tcPr>
            <w:tcW w:w="4606" w:type="dxa"/>
          </w:tcPr>
          <w:p w:rsidR="00155862" w:rsidRPr="00973130" w:rsidRDefault="00155862" w:rsidP="001C3CE0">
            <w:pPr>
              <w:pStyle w:val="Tabloiyazs"/>
              <w:spacing w:after="0"/>
            </w:pPr>
            <w:r w:rsidRPr="00973130">
              <w:t>Bilişim ve İletişim Teknolojisi</w:t>
            </w:r>
          </w:p>
        </w:tc>
      </w:tr>
      <w:tr w:rsidR="00155862" w:rsidRPr="00973130" w:rsidTr="001C3CE0">
        <w:tc>
          <w:tcPr>
            <w:tcW w:w="4498" w:type="dxa"/>
          </w:tcPr>
          <w:p w:rsidR="00155862" w:rsidRPr="00973130" w:rsidRDefault="00155862" w:rsidP="001C3CE0">
            <w:pPr>
              <w:pStyle w:val="Tabloiyazs"/>
              <w:spacing w:after="0"/>
            </w:pPr>
            <w:r w:rsidRPr="00973130">
              <w:t>Bilgisayar Donanımı</w:t>
            </w:r>
          </w:p>
        </w:tc>
        <w:tc>
          <w:tcPr>
            <w:tcW w:w="4606" w:type="dxa"/>
          </w:tcPr>
          <w:p w:rsidR="00155862" w:rsidRPr="00973130" w:rsidRDefault="00155862" w:rsidP="001C3CE0">
            <w:pPr>
              <w:pStyle w:val="Tabloiyazs"/>
              <w:spacing w:after="0"/>
            </w:pPr>
            <w:r w:rsidRPr="00973130">
              <w:t>Bilgi ve İletişim Teknolojileri-Bilgisayar</w:t>
            </w:r>
          </w:p>
        </w:tc>
      </w:tr>
      <w:tr w:rsidR="00155862" w:rsidRPr="00973130" w:rsidTr="001C3CE0">
        <w:tc>
          <w:tcPr>
            <w:tcW w:w="4498" w:type="dxa"/>
          </w:tcPr>
          <w:p w:rsidR="00155862" w:rsidRPr="00973130" w:rsidRDefault="00155862" w:rsidP="001C3CE0">
            <w:pPr>
              <w:pStyle w:val="Tabloiyazs"/>
              <w:spacing w:after="0"/>
            </w:pPr>
            <w:r w:rsidRPr="00973130">
              <w:t>Bilgisayar Operatörlüğü</w:t>
            </w:r>
          </w:p>
        </w:tc>
        <w:tc>
          <w:tcPr>
            <w:tcW w:w="4606" w:type="dxa"/>
          </w:tcPr>
          <w:p w:rsidR="00155862" w:rsidRPr="00973130" w:rsidRDefault="00155862" w:rsidP="001C3CE0">
            <w:pPr>
              <w:pStyle w:val="Tabloiyazs"/>
              <w:spacing w:after="0"/>
            </w:pPr>
            <w:r w:rsidRPr="00973130">
              <w:t>Mobil Teknolojileri</w:t>
            </w:r>
          </w:p>
        </w:tc>
      </w:tr>
      <w:tr w:rsidR="00155862" w:rsidRPr="00973130" w:rsidTr="001C3CE0">
        <w:tc>
          <w:tcPr>
            <w:tcW w:w="4498" w:type="dxa"/>
          </w:tcPr>
          <w:p w:rsidR="00155862" w:rsidRPr="00973130" w:rsidRDefault="00155862" w:rsidP="001C3CE0">
            <w:pPr>
              <w:pStyle w:val="Tabloiyazs"/>
              <w:spacing w:after="0"/>
            </w:pPr>
            <w:r w:rsidRPr="00973130">
              <w:t>Bilgisayar Operatörlüğü ve Teknikerliği</w:t>
            </w:r>
          </w:p>
        </w:tc>
        <w:tc>
          <w:tcPr>
            <w:tcW w:w="4606" w:type="dxa"/>
          </w:tcPr>
          <w:p w:rsidR="00155862" w:rsidRPr="00973130" w:rsidRDefault="00155862" w:rsidP="001C3CE0">
            <w:pPr>
              <w:pStyle w:val="Tabloiyazs"/>
              <w:spacing w:after="0"/>
            </w:pPr>
            <w:r w:rsidRPr="00973130">
              <w:t>Bilgisayar Programcılığı (internet)</w:t>
            </w:r>
          </w:p>
        </w:tc>
      </w:tr>
      <w:tr w:rsidR="00155862" w:rsidRPr="00973130" w:rsidTr="001C3CE0">
        <w:tc>
          <w:tcPr>
            <w:tcW w:w="4498" w:type="dxa"/>
          </w:tcPr>
          <w:p w:rsidR="00155862" w:rsidRPr="00973130" w:rsidRDefault="00155862" w:rsidP="001C3CE0">
            <w:pPr>
              <w:pStyle w:val="Tabloiyazs"/>
              <w:spacing w:after="0"/>
            </w:pPr>
            <w:r w:rsidRPr="00973130">
              <w:t>Bilgisayar Programcılığı</w:t>
            </w:r>
          </w:p>
        </w:tc>
        <w:tc>
          <w:tcPr>
            <w:tcW w:w="4606" w:type="dxa"/>
          </w:tcPr>
          <w:p w:rsidR="00155862" w:rsidRPr="00973130" w:rsidRDefault="00155862" w:rsidP="001C3CE0">
            <w:pPr>
              <w:pStyle w:val="Tabloiyazs"/>
              <w:spacing w:after="0"/>
            </w:pPr>
          </w:p>
        </w:tc>
      </w:tr>
    </w:tbl>
    <w:p w:rsidR="00155862" w:rsidRDefault="00155862" w:rsidP="00155862">
      <w:pPr>
        <w:pStyle w:val="Balk4"/>
        <w:ind w:left="0" w:firstLine="0"/>
        <w:rPr>
          <w:rFonts w:ascii="Times New Roman" w:hAnsi="Times New Roman"/>
          <w:sz w:val="24"/>
          <w:szCs w:val="24"/>
        </w:rPr>
      </w:pPr>
    </w:p>
    <w:p w:rsidR="00155862" w:rsidRDefault="00155862" w:rsidP="00155862">
      <w:pPr>
        <w:jc w:val="left"/>
        <w:rPr>
          <w:rStyle w:val="Gl"/>
          <w:rFonts w:ascii="Arial" w:hAnsi="Arial" w:cs="Arial"/>
          <w:color w:val="444444"/>
          <w:szCs w:val="20"/>
          <w:bdr w:val="none" w:sz="0" w:space="0" w:color="auto" w:frame="1"/>
        </w:rPr>
      </w:pPr>
      <w:r>
        <w:rPr>
          <w:rStyle w:val="Gl"/>
          <w:rFonts w:ascii="Arial" w:hAnsi="Arial" w:cs="Arial"/>
          <w:color w:val="444444"/>
          <w:szCs w:val="20"/>
          <w:bdr w:val="none" w:sz="0" w:space="0" w:color="auto" w:frame="1"/>
        </w:rPr>
        <w:br w:type="page"/>
      </w:r>
    </w:p>
    <w:p w:rsidR="00523685" w:rsidRDefault="00523685"/>
    <w:sectPr w:rsidR="00523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422D"/>
    <w:multiLevelType w:val="hybridMultilevel"/>
    <w:tmpl w:val="4A365EC0"/>
    <w:lvl w:ilvl="0" w:tplc="63401C90">
      <w:start w:val="1"/>
      <w:numFmt w:val="bullet"/>
      <w:pStyle w:val="ParagrafListes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62"/>
    <w:rsid w:val="00155862"/>
    <w:rsid w:val="00523685"/>
    <w:rsid w:val="00AF6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2D4FA-2EB2-4027-A004-A093F6FE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862"/>
    <w:pPr>
      <w:spacing w:after="0" w:line="240" w:lineRule="auto"/>
      <w:jc w:val="both"/>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155862"/>
    <w:pPr>
      <w:spacing w:after="120"/>
      <w:ind w:left="437" w:hanging="437"/>
      <w:jc w:val="left"/>
      <w:outlineLvl w:val="2"/>
    </w:pPr>
    <w:rPr>
      <w:rFonts w:ascii="Calibri" w:hAnsi="Calibri"/>
      <w:b/>
      <w:sz w:val="28"/>
      <w:szCs w:val="28"/>
    </w:rPr>
  </w:style>
  <w:style w:type="paragraph" w:styleId="Balk6">
    <w:name w:val="heading 6"/>
    <w:basedOn w:val="Normal"/>
    <w:next w:val="Normal"/>
    <w:link w:val="Balk6Char"/>
    <w:uiPriority w:val="9"/>
    <w:semiHidden/>
    <w:unhideWhenUsed/>
    <w:qFormat/>
    <w:rsid w:val="00155862"/>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155862"/>
    <w:rPr>
      <w:rFonts w:ascii="Calibri" w:eastAsia="Times New Roman" w:hAnsi="Calibri" w:cs="Times New Roman"/>
      <w:b/>
      <w:sz w:val="28"/>
      <w:szCs w:val="28"/>
      <w:lang w:eastAsia="tr-TR"/>
    </w:rPr>
  </w:style>
  <w:style w:type="character" w:styleId="Kpr">
    <w:name w:val="Hyperlink"/>
    <w:uiPriority w:val="99"/>
    <w:rsid w:val="00155862"/>
    <w:rPr>
      <w:color w:val="0000FF"/>
      <w:u w:val="single"/>
    </w:rPr>
  </w:style>
  <w:style w:type="table" w:styleId="TabloKlavuzu">
    <w:name w:val="Table Grid"/>
    <w:basedOn w:val="NormalTablo"/>
    <w:uiPriority w:val="59"/>
    <w:rsid w:val="001558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155862"/>
    <w:pPr>
      <w:ind w:left="720"/>
      <w:contextualSpacing/>
    </w:pPr>
  </w:style>
  <w:style w:type="character" w:styleId="Gl">
    <w:name w:val="Strong"/>
    <w:basedOn w:val="VarsaylanParagrafYazTipi"/>
    <w:uiPriority w:val="22"/>
    <w:qFormat/>
    <w:rsid w:val="00155862"/>
    <w:rPr>
      <w:b/>
      <w:bCs/>
    </w:rPr>
  </w:style>
  <w:style w:type="paragraph" w:styleId="NormalWeb">
    <w:name w:val="Normal (Web)"/>
    <w:basedOn w:val="Normal"/>
    <w:uiPriority w:val="99"/>
    <w:unhideWhenUsed/>
    <w:rsid w:val="00155862"/>
    <w:pPr>
      <w:spacing w:after="150"/>
      <w:jc w:val="left"/>
    </w:pPr>
  </w:style>
  <w:style w:type="paragraph" w:customStyle="1" w:styleId="Paragraflar">
    <w:name w:val="Paragraflar"/>
    <w:basedOn w:val="GvdeMetni"/>
    <w:link w:val="ParagraflarChar"/>
    <w:autoRedefine/>
    <w:qFormat/>
    <w:rsid w:val="00155862"/>
    <w:rPr>
      <w:rFonts w:ascii="Calibri" w:hAnsi="Calibri"/>
      <w:szCs w:val="23"/>
    </w:rPr>
  </w:style>
  <w:style w:type="character" w:customStyle="1" w:styleId="ParagraflarChar">
    <w:name w:val="Paragraflar Char"/>
    <w:basedOn w:val="VarsaylanParagrafYazTipi"/>
    <w:link w:val="Paragraflar"/>
    <w:rsid w:val="00155862"/>
    <w:rPr>
      <w:rFonts w:ascii="Calibri" w:eastAsia="Times New Roman" w:hAnsi="Calibri" w:cs="Times New Roman"/>
      <w:sz w:val="24"/>
      <w:szCs w:val="23"/>
      <w:lang w:eastAsia="tr-TR"/>
    </w:rPr>
  </w:style>
  <w:style w:type="paragraph" w:customStyle="1" w:styleId="ekilveTabloBal">
    <w:name w:val="Şekil ve Tablo Başlığı"/>
    <w:basedOn w:val="Balk6"/>
    <w:link w:val="ekilveTabloBalChar"/>
    <w:autoRedefine/>
    <w:qFormat/>
    <w:rsid w:val="00155862"/>
    <w:pPr>
      <w:keepNext w:val="0"/>
      <w:keepLines w:val="0"/>
      <w:spacing w:before="0" w:after="120"/>
      <w:jc w:val="center"/>
    </w:pPr>
    <w:rPr>
      <w:rFonts w:ascii="Calibri" w:eastAsia="Times New Roman" w:hAnsi="Calibri" w:cs="Times New Roman"/>
      <w:b/>
      <w:i/>
      <w:color w:val="auto"/>
    </w:rPr>
  </w:style>
  <w:style w:type="character" w:customStyle="1" w:styleId="ekilveTabloBalChar">
    <w:name w:val="Şekil ve Tablo Başlığı Char"/>
    <w:basedOn w:val="VarsaylanParagrafYazTipi"/>
    <w:link w:val="ekilveTabloBal"/>
    <w:rsid w:val="00155862"/>
    <w:rPr>
      <w:rFonts w:ascii="Calibri" w:eastAsia="Times New Roman" w:hAnsi="Calibri" w:cs="Times New Roman"/>
      <w:b/>
      <w:i/>
      <w:sz w:val="24"/>
      <w:szCs w:val="24"/>
      <w:lang w:eastAsia="tr-TR"/>
    </w:rPr>
  </w:style>
  <w:style w:type="paragraph" w:customStyle="1" w:styleId="Tabloiyazs">
    <w:name w:val="Tablo iç yazısı"/>
    <w:basedOn w:val="Normal"/>
    <w:link w:val="TabloiyazsChar"/>
    <w:autoRedefine/>
    <w:qFormat/>
    <w:rsid w:val="00155862"/>
    <w:pPr>
      <w:spacing w:after="120"/>
      <w:jc w:val="center"/>
    </w:pPr>
    <w:rPr>
      <w:rFonts w:ascii="Calibri" w:hAnsi="Calibri"/>
      <w:sz w:val="20"/>
      <w:szCs w:val="23"/>
    </w:rPr>
  </w:style>
  <w:style w:type="character" w:customStyle="1" w:styleId="TabloiyazsChar">
    <w:name w:val="Tablo iç yazısı Char"/>
    <w:basedOn w:val="ParagraflarChar"/>
    <w:link w:val="Tabloiyazs"/>
    <w:rsid w:val="00155862"/>
    <w:rPr>
      <w:rFonts w:ascii="Calibri" w:eastAsia="Times New Roman" w:hAnsi="Calibri" w:cs="Times New Roman"/>
      <w:sz w:val="20"/>
      <w:szCs w:val="23"/>
      <w:lang w:eastAsia="tr-TR"/>
    </w:rPr>
  </w:style>
  <w:style w:type="paragraph" w:customStyle="1" w:styleId="Balk4">
    <w:name w:val="Başlık4"/>
    <w:basedOn w:val="Balk3"/>
    <w:link w:val="Balk4Char"/>
    <w:qFormat/>
    <w:rsid w:val="00155862"/>
  </w:style>
  <w:style w:type="paragraph" w:customStyle="1" w:styleId="ParagrafListesi">
    <w:name w:val="ParagrafListesi"/>
    <w:basedOn w:val="Paragraflar"/>
    <w:link w:val="ParagrafListesiChar"/>
    <w:autoRedefine/>
    <w:qFormat/>
    <w:rsid w:val="00155862"/>
    <w:pPr>
      <w:numPr>
        <w:numId w:val="1"/>
      </w:numPr>
    </w:pPr>
  </w:style>
  <w:style w:type="character" w:customStyle="1" w:styleId="Balk4Char">
    <w:name w:val="Başlık4 Char"/>
    <w:basedOn w:val="VarsaylanParagrafYazTipi"/>
    <w:link w:val="Balk4"/>
    <w:rsid w:val="00155862"/>
    <w:rPr>
      <w:rFonts w:ascii="Calibri" w:eastAsia="Times New Roman" w:hAnsi="Calibri" w:cs="Times New Roman"/>
      <w:b/>
      <w:sz w:val="28"/>
      <w:szCs w:val="28"/>
      <w:lang w:eastAsia="tr-TR"/>
    </w:rPr>
  </w:style>
  <w:style w:type="character" w:customStyle="1" w:styleId="ParagrafListesiChar">
    <w:name w:val="ParagrafListesi Char"/>
    <w:basedOn w:val="ParagraflarChar"/>
    <w:link w:val="ParagrafListesi"/>
    <w:rsid w:val="00155862"/>
    <w:rPr>
      <w:rFonts w:ascii="Calibri" w:eastAsia="Times New Roman" w:hAnsi="Calibri" w:cs="Times New Roman"/>
      <w:sz w:val="24"/>
      <w:szCs w:val="23"/>
      <w:lang w:eastAsia="tr-TR"/>
    </w:rPr>
  </w:style>
  <w:style w:type="paragraph" w:styleId="GvdeMetni">
    <w:name w:val="Body Text"/>
    <w:basedOn w:val="Normal"/>
    <w:link w:val="GvdeMetniChar"/>
    <w:uiPriority w:val="99"/>
    <w:semiHidden/>
    <w:unhideWhenUsed/>
    <w:rsid w:val="00155862"/>
    <w:pPr>
      <w:spacing w:after="120"/>
    </w:pPr>
  </w:style>
  <w:style w:type="character" w:customStyle="1" w:styleId="GvdeMetniChar">
    <w:name w:val="Gövde Metni Char"/>
    <w:basedOn w:val="VarsaylanParagrafYazTipi"/>
    <w:link w:val="GvdeMetni"/>
    <w:uiPriority w:val="99"/>
    <w:semiHidden/>
    <w:rsid w:val="00155862"/>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155862"/>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ogu.edu.tr/Sayfa/Index/116" TargetMode="External"/><Relationship Id="rId3" Type="http://schemas.openxmlformats.org/officeDocument/2006/relationships/settings" Target="settings.xml"/><Relationship Id="rId7" Type="http://schemas.openxmlformats.org/officeDocument/2006/relationships/hyperlink" Target="http://oidb.ogu.edu.tr/Sayfa/Index/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db.ogu.edu.tr/Sayfa/Index/67" TargetMode="External"/><Relationship Id="rId11" Type="http://schemas.openxmlformats.org/officeDocument/2006/relationships/fontTable" Target="fontTable.xml"/><Relationship Id="rId5" Type="http://schemas.openxmlformats.org/officeDocument/2006/relationships/hyperlink" Target="http://oidb.ogu.edu.tr/Sayfa/Index/14/ogrenci-rehberi" TargetMode="External"/><Relationship Id="rId10" Type="http://schemas.openxmlformats.org/officeDocument/2006/relationships/hyperlink" Target="http://oidb.ogu.edu.tr/Sayfa/Index/46" TargetMode="External"/><Relationship Id="rId4" Type="http://schemas.openxmlformats.org/officeDocument/2006/relationships/webSettings" Target="webSettings.xml"/><Relationship Id="rId9" Type="http://schemas.openxmlformats.org/officeDocument/2006/relationships/hyperlink" Target="http://oidb.ogu.edu.tr/Sayfa/Index/6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2</cp:revision>
  <dcterms:created xsi:type="dcterms:W3CDTF">2018-11-02T10:29:00Z</dcterms:created>
  <dcterms:modified xsi:type="dcterms:W3CDTF">2018-11-02T10:29:00Z</dcterms:modified>
</cp:coreProperties>
</file>